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9256" w:type="dxa"/>
        <w:tblInd w:w="0" w:type="dxa"/>
        <w:tblBorders>
          <w:top w:val="single" w:color="FFFFFF" w:sz="6" w:space="0"/>
          <w:left w:val="single" w:color="FFFFFF" w:sz="6" w:space="0"/>
          <w:bottom w:val="single" w:color="FFFFFF" w:sz="6" w:space="0"/>
          <w:right w:val="single" w:color="FFFFFF" w:sz="6" w:space="0"/>
          <w:insideH w:val="single" w:color="FFFFFF" w:sz="6" w:space="0"/>
          <w:insideV w:val="single" w:color="FFFFFF" w:sz="6" w:space="0"/>
        </w:tblBorders>
        <w:tblLayout w:type="fixed"/>
        <w:tblCellMar>
          <w:top w:w="0" w:type="dxa"/>
          <w:left w:w="108" w:type="dxa"/>
          <w:bottom w:w="0" w:type="dxa"/>
          <w:right w:w="108" w:type="dxa"/>
        </w:tblCellMar>
      </w:tblPr>
      <w:tblGrid>
        <w:gridCol w:w="6768"/>
        <w:gridCol w:w="2488"/>
      </w:tblGrid>
      <w:tr>
        <w:tblPrEx>
          <w:tblBorders>
            <w:top w:val="single" w:color="FFFFFF" w:sz="6" w:space="0"/>
            <w:left w:val="single" w:color="FFFFFF" w:sz="6" w:space="0"/>
            <w:bottom w:val="single" w:color="FFFFFF" w:sz="6" w:space="0"/>
            <w:right w:val="single" w:color="FFFFFF" w:sz="6" w:space="0"/>
            <w:insideH w:val="single" w:color="FFFFFF" w:sz="6" w:space="0"/>
            <w:insideV w:val="single" w:color="FFFFFF" w:sz="6" w:space="0"/>
          </w:tblBorders>
          <w:tblLayout w:type="fixed"/>
          <w:tblCellMar>
            <w:top w:w="0" w:type="dxa"/>
            <w:left w:w="108" w:type="dxa"/>
            <w:bottom w:w="0" w:type="dxa"/>
            <w:right w:w="108" w:type="dxa"/>
          </w:tblCellMar>
        </w:tblPrEx>
        <w:tc>
          <w:tcPr>
            <w:tcW w:w="6768" w:type="dxa"/>
          </w:tcPr>
          <w:p>
            <w:pPr>
              <w:pStyle w:val="7"/>
              <w:jc w:val="right"/>
              <w:rPr>
                <w:color w:val="FF0000"/>
                <w:spacing w:val="140"/>
                <w:sz w:val="72"/>
              </w:rPr>
            </w:pPr>
            <w:bookmarkStart w:id="0" w:name="wenjiantou"/>
            <w:r>
              <w:rPr>
                <w:rFonts w:hint="eastAsia"/>
                <w:color w:val="FF0000"/>
                <w:spacing w:val="140"/>
                <w:sz w:val="72"/>
              </w:rPr>
              <w:t>绍兴市财政局</w:t>
            </w:r>
          </w:p>
        </w:tc>
        <w:tc>
          <w:tcPr>
            <w:tcW w:w="2488" w:type="dxa"/>
          </w:tcPr>
          <w:p>
            <w:pPr>
              <w:pStyle w:val="7"/>
              <w:jc w:val="left"/>
              <w:rPr>
                <w:color w:val="FF0000"/>
                <w:spacing w:val="140"/>
                <w:sz w:val="72"/>
              </w:rPr>
            </w:pPr>
            <w:r>
              <w:rPr>
                <w:rFonts w:hint="eastAsia"/>
                <w:color w:val="FF0000"/>
                <w:spacing w:val="140"/>
                <w:sz w:val="72"/>
              </w:rPr>
              <w:t>文件</w:t>
            </w:r>
          </w:p>
        </w:tc>
      </w:tr>
      <w:bookmarkEnd w:id="0"/>
    </w:tbl>
    <w:p>
      <w:pPr>
        <w:rPr>
          <w:rFonts w:ascii="仿宋_GB2312" w:eastAsia="仿宋_GB2312"/>
        </w:rPr>
      </w:pPr>
      <w:r>
        <w:rPr>
          <w:rFonts w:ascii="仿宋_GB2312" w:eastAsia="仿宋_GB2312"/>
        </w:rPr>
        <w:t xml:space="preserve">                                                                                   </w:t>
      </w:r>
    </w:p>
    <w:p>
      <w:pPr>
        <w:jc w:val="center"/>
        <w:rPr>
          <w:rFonts w:eastAsia="仿宋_GB2312"/>
          <w:sz w:val="32"/>
        </w:rPr>
      </w:pPr>
      <w:bookmarkStart w:id="1" w:name="filetype1_2"/>
      <w:r>
        <w:rPr>
          <w:rFonts w:hint="eastAsia" w:ascii="仿宋_GB2312" w:eastAsia="仿宋_GB2312"/>
          <w:sz w:val="32"/>
        </w:rPr>
        <w:t>绍市财预</w:t>
      </w:r>
      <w:bookmarkStart w:id="2" w:name="year1_2"/>
      <w:bookmarkEnd w:id="1"/>
      <w:r>
        <w:rPr>
          <w:rFonts w:hint="eastAsia" w:ascii="仿宋_GB2312" w:eastAsia="仿宋_GB2312"/>
          <w:sz w:val="32"/>
        </w:rPr>
        <w:t>〔</w:t>
      </w:r>
      <w:r>
        <w:rPr>
          <w:rFonts w:ascii="仿宋_GB2312" w:eastAsia="仿宋_GB2312"/>
          <w:sz w:val="32"/>
        </w:rPr>
        <w:t>2016</w:t>
      </w:r>
      <w:r>
        <w:rPr>
          <w:rFonts w:hint="eastAsia" w:ascii="仿宋_GB2312" w:eastAsia="仿宋_GB2312"/>
          <w:sz w:val="32"/>
        </w:rPr>
        <w:t>〕</w:t>
      </w:r>
      <w:r>
        <w:rPr>
          <w:rFonts w:ascii="仿宋_GB2312" w:eastAsia="仿宋_GB2312"/>
          <w:sz w:val="32"/>
        </w:rPr>
        <w:t>19</w:t>
      </w:r>
      <w:r>
        <w:rPr>
          <w:rFonts w:hint="eastAsia" w:ascii="仿宋_GB2312" w:eastAsia="仿宋_GB2312"/>
          <w:sz w:val="32"/>
        </w:rPr>
        <w:t>号</w:t>
      </w:r>
      <w:bookmarkEnd w:id="2"/>
    </w:p>
    <w:p>
      <w:pPr>
        <w:jc w:val="center"/>
        <w:rPr>
          <w:rFonts w:ascii="仿宋_GB2312" w:eastAsia="仿宋_GB2312"/>
          <w:sz w:val="32"/>
          <w:szCs w:val="32"/>
        </w:rPr>
      </w:pPr>
      <w:bookmarkStart w:id="3" w:name="filetype2_2"/>
      <w:bookmarkEnd w:id="3"/>
      <w:r>
        <w:rPr>
          <w:rFonts w:ascii="仿宋_GB2312" w:hAnsi="仿宋_GB2312" w:eastAsia="仿宋_GB2312"/>
          <w:sz w:val="32"/>
        </w:rPr>
        <w:t xml:space="preserve">  </w:t>
      </w:r>
      <w:bookmarkStart w:id="4" w:name="year2_2"/>
      <w:bookmarkEnd w:id="4"/>
      <w:r>
        <w:pict>
          <v:line id="_x0000_s1026" o:spid="_x0000_s1026" o:spt="20" style="position:absolute;left:0pt;margin-left:0pt;margin-top:15.1pt;height:0pt;width:435.4pt;z-index:251658240;mso-width-relative:page;mso-height-relative:page;" stroked="t" coordsize="21600,21600">
            <v:path arrowok="t"/>
            <v:fill focussize="0,0"/>
            <v:stroke weight="2.25pt" color="#FF0000"/>
            <v:imagedata o:title=""/>
            <o:lock v:ext="edit"/>
          </v:line>
        </w:pict>
      </w:r>
    </w:p>
    <w:p>
      <w:pPr>
        <w:tabs>
          <w:tab w:val="right" w:pos="8731"/>
        </w:tabs>
        <w:adjustRightInd w:val="0"/>
        <w:snapToGrid w:val="0"/>
        <w:jc w:val="center"/>
        <w:rPr>
          <w:rFonts w:ascii="仿宋_GB2312" w:eastAsia="仿宋_GB2312"/>
          <w:sz w:val="32"/>
          <w:szCs w:val="32"/>
        </w:rPr>
      </w:pPr>
    </w:p>
    <w:p>
      <w:pPr>
        <w:adjustRightInd w:val="0"/>
        <w:snapToGrid w:val="0"/>
        <w:spacing w:line="240" w:lineRule="atLeast"/>
        <w:jc w:val="center"/>
        <w:rPr>
          <w:rFonts w:ascii="宋体"/>
          <w:b/>
          <w:sz w:val="44"/>
          <w:szCs w:val="44"/>
        </w:rPr>
      </w:pPr>
      <w:bookmarkStart w:id="5" w:name="filename"/>
      <w:r>
        <w:rPr>
          <w:rFonts w:hint="eastAsia" w:ascii="宋体" w:hAnsi="宋体"/>
          <w:b/>
          <w:sz w:val="44"/>
          <w:szCs w:val="44"/>
        </w:rPr>
        <w:t>绍兴市财政局关于编制</w:t>
      </w:r>
      <w:r>
        <w:rPr>
          <w:rFonts w:ascii="宋体" w:hAnsi="宋体"/>
          <w:b/>
          <w:sz w:val="44"/>
          <w:szCs w:val="44"/>
        </w:rPr>
        <w:t>2017</w:t>
      </w:r>
      <w:r>
        <w:rPr>
          <w:rFonts w:hint="eastAsia" w:ascii="宋体" w:hAnsi="宋体"/>
          <w:b/>
          <w:sz w:val="44"/>
          <w:szCs w:val="44"/>
        </w:rPr>
        <w:t>年市级预算的通知</w:t>
      </w:r>
      <w:bookmarkEnd w:id="5"/>
    </w:p>
    <w:p>
      <w:pPr>
        <w:adjustRightInd w:val="0"/>
        <w:snapToGrid w:val="0"/>
        <w:spacing w:line="560" w:lineRule="exact"/>
        <w:rPr>
          <w:rFonts w:ascii="仿宋_GB2312" w:eastAsia="仿宋_GB2312"/>
          <w:sz w:val="32"/>
          <w:szCs w:val="32"/>
        </w:rPr>
      </w:pPr>
    </w:p>
    <w:p>
      <w:pPr>
        <w:adjustRightInd w:val="0"/>
        <w:snapToGrid w:val="0"/>
        <w:spacing w:line="560" w:lineRule="exact"/>
        <w:rPr>
          <w:rFonts w:ascii="仿宋_GB2312" w:eastAsia="仿宋_GB2312"/>
          <w:sz w:val="32"/>
          <w:szCs w:val="32"/>
        </w:rPr>
      </w:pPr>
      <w:bookmarkStart w:id="6" w:name="zsbm"/>
      <w:r>
        <w:rPr>
          <w:rFonts w:hint="eastAsia" w:ascii="仿宋_GB2312" w:eastAsia="仿宋_GB2312"/>
          <w:sz w:val="32"/>
          <w:szCs w:val="32"/>
        </w:rPr>
        <w:t>市级各部门、各单位</w:t>
      </w:r>
      <w:bookmarkEnd w:id="6"/>
      <w:r>
        <w:rPr>
          <w:rFonts w:hint="eastAsia" w:ascii="仿宋_GB2312" w:eastAsia="仿宋_GB2312"/>
          <w:sz w:val="32"/>
          <w:szCs w:val="32"/>
        </w:rPr>
        <w:t>：</w:t>
      </w:r>
    </w:p>
    <w:p>
      <w:pPr>
        <w:adjustRightInd w:val="0"/>
        <w:snapToGrid w:val="0"/>
        <w:spacing w:line="560" w:lineRule="exact"/>
        <w:rPr>
          <w:rFonts w:ascii="仿宋_GB2312" w:eastAsia="仿宋_GB2312"/>
          <w:sz w:val="32"/>
          <w:szCs w:val="32"/>
        </w:rPr>
      </w:pPr>
      <w:r>
        <w:rPr>
          <w:rFonts w:ascii="仿宋_GB2312" w:eastAsia="仿宋_GB2312"/>
          <w:sz w:val="32"/>
          <w:szCs w:val="32"/>
        </w:rPr>
        <w:t xml:space="preserve">    </w:t>
      </w:r>
      <w:r>
        <w:rPr>
          <w:rFonts w:hint="eastAsia" w:ascii="仿宋_GB2312" w:eastAsia="仿宋_GB2312"/>
          <w:sz w:val="32"/>
          <w:szCs w:val="32"/>
        </w:rPr>
        <w:t>根据《预算法》和省政府《关于加快建立现代财政制度的意见》等有关规定及市委市政府的部署要求，结合市级预算管理实际，现就编制</w:t>
      </w:r>
      <w:r>
        <w:rPr>
          <w:rFonts w:ascii="仿宋_GB2312" w:eastAsia="仿宋_GB2312"/>
          <w:sz w:val="32"/>
          <w:szCs w:val="32"/>
        </w:rPr>
        <w:t>2017</w:t>
      </w:r>
      <w:r>
        <w:rPr>
          <w:rFonts w:hint="eastAsia" w:ascii="仿宋_GB2312" w:eastAsia="仿宋_GB2312"/>
          <w:sz w:val="32"/>
          <w:szCs w:val="32"/>
        </w:rPr>
        <w:t>年市级预算的有关事项通知如下：</w:t>
      </w:r>
    </w:p>
    <w:p>
      <w:pPr>
        <w:adjustRightInd w:val="0"/>
        <w:snapToGrid w:val="0"/>
        <w:spacing w:line="560" w:lineRule="exact"/>
        <w:ind w:firstLine="31680" w:firstLineChars="200"/>
        <w:rPr>
          <w:rFonts w:ascii="黑体" w:eastAsia="黑体"/>
          <w:sz w:val="32"/>
          <w:szCs w:val="32"/>
        </w:rPr>
      </w:pPr>
      <w:r>
        <w:rPr>
          <w:rFonts w:hint="eastAsia" w:ascii="黑体" w:eastAsia="黑体"/>
          <w:sz w:val="32"/>
          <w:szCs w:val="32"/>
        </w:rPr>
        <w:t>一、指导思想</w:t>
      </w:r>
    </w:p>
    <w:p>
      <w:pPr>
        <w:adjustRightInd w:val="0"/>
        <w:snapToGrid w:val="0"/>
        <w:spacing w:line="560" w:lineRule="exact"/>
        <w:ind w:firstLine="31680" w:firstLineChars="200"/>
        <w:rPr>
          <w:rFonts w:ascii="仿宋_GB2312" w:eastAsia="仿宋_GB2312"/>
          <w:sz w:val="32"/>
          <w:szCs w:val="32"/>
        </w:rPr>
      </w:pPr>
      <w:r>
        <w:rPr>
          <w:rFonts w:hint="eastAsia" w:ascii="仿宋_GB2312" w:eastAsia="仿宋_GB2312"/>
          <w:sz w:val="32"/>
          <w:szCs w:val="32"/>
        </w:rPr>
        <w:t>全面贯彻党的十八届三中、四中、五中全会和市委七届历次全会精神，根据《预算法》规定，按照</w:t>
      </w:r>
      <w:r>
        <w:rPr>
          <w:rFonts w:hint="eastAsia" w:ascii="仿宋_GB2312" w:eastAsia="仿宋_GB2312"/>
          <w:color w:val="FF0000"/>
          <w:sz w:val="32"/>
          <w:szCs w:val="32"/>
        </w:rPr>
        <w:t>“促进发展、保障民生、科学理财、加强监管”的理财观，做好“生财、聚财、用财”三篇文章</w:t>
      </w:r>
      <w:r>
        <w:rPr>
          <w:rFonts w:hint="eastAsia" w:ascii="仿宋_GB2312" w:eastAsia="仿宋_GB2312"/>
          <w:sz w:val="32"/>
          <w:szCs w:val="32"/>
        </w:rPr>
        <w:t>，围绕建立现代财政制度，全面推进财政改革，努力构建预算编制科学完整、预算执行规范有序、预算监督公开透明的预算管理制度体系，积极发挥财政职能作用，促进我市经济可持续发展、民生可持续改善、生态可持续优化。</w:t>
      </w:r>
    </w:p>
    <w:p>
      <w:pPr>
        <w:adjustRightInd w:val="0"/>
        <w:snapToGrid w:val="0"/>
        <w:spacing w:line="560" w:lineRule="exact"/>
        <w:ind w:firstLine="31680" w:firstLineChars="200"/>
        <w:rPr>
          <w:rFonts w:ascii="黑体" w:eastAsia="黑体"/>
          <w:sz w:val="32"/>
          <w:szCs w:val="32"/>
        </w:rPr>
      </w:pPr>
      <w:r>
        <w:rPr>
          <w:rFonts w:hint="eastAsia" w:ascii="黑体" w:eastAsia="黑体"/>
          <w:sz w:val="32"/>
          <w:szCs w:val="32"/>
        </w:rPr>
        <w:t>二、编制原则</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b/>
          <w:color w:val="FF0000"/>
          <w:sz w:val="32"/>
          <w:szCs w:val="32"/>
        </w:rPr>
        <w:t>1</w:t>
      </w:r>
      <w:r>
        <w:rPr>
          <w:rFonts w:hint="eastAsia" w:ascii="仿宋_GB2312" w:eastAsia="仿宋_GB2312"/>
          <w:b/>
          <w:color w:val="FF0000"/>
          <w:sz w:val="32"/>
          <w:szCs w:val="32"/>
        </w:rPr>
        <w:t>、量入为出，量力而行。</w:t>
      </w:r>
      <w:r>
        <w:rPr>
          <w:rFonts w:hint="eastAsia" w:ascii="仿宋_GB2312" w:eastAsia="仿宋_GB2312"/>
          <w:sz w:val="32"/>
          <w:szCs w:val="32"/>
        </w:rPr>
        <w:t>市级预算编制要与国民经济和社会发展规划相一致，与单位履职及事业发展计划相协调，与市级财力相适应，确保财政收支平衡。</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b/>
          <w:color w:val="FF0000"/>
          <w:sz w:val="32"/>
          <w:szCs w:val="32"/>
        </w:rPr>
        <w:t>2</w:t>
      </w:r>
      <w:r>
        <w:rPr>
          <w:rFonts w:hint="eastAsia" w:ascii="仿宋_GB2312" w:eastAsia="仿宋_GB2312"/>
          <w:b/>
          <w:color w:val="FF0000"/>
          <w:sz w:val="32"/>
          <w:szCs w:val="32"/>
        </w:rPr>
        <w:t>、统筹兼顾，突出重点。</w:t>
      </w:r>
      <w:r>
        <w:rPr>
          <w:rFonts w:hint="eastAsia" w:ascii="仿宋_GB2312" w:eastAsia="仿宋_GB2312"/>
          <w:sz w:val="32"/>
          <w:szCs w:val="32"/>
        </w:rPr>
        <w:t>以问题为导向，坚持改革创新，建立资金统筹使用机制，统筹各项资金用于发展急需的重点支出和优先保障民生支出。</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b/>
          <w:color w:val="FF0000"/>
          <w:sz w:val="32"/>
          <w:szCs w:val="32"/>
        </w:rPr>
        <w:t>3</w:t>
      </w:r>
      <w:r>
        <w:rPr>
          <w:rFonts w:hint="eastAsia" w:ascii="仿宋_GB2312" w:eastAsia="仿宋_GB2312"/>
          <w:b/>
          <w:color w:val="FF0000"/>
          <w:sz w:val="32"/>
          <w:szCs w:val="32"/>
        </w:rPr>
        <w:t>、科学精细，讲求绩效。</w:t>
      </w:r>
      <w:r>
        <w:rPr>
          <w:rFonts w:hint="eastAsia" w:ascii="仿宋_GB2312" w:eastAsia="仿宋_GB2312"/>
          <w:sz w:val="32"/>
          <w:szCs w:val="32"/>
        </w:rPr>
        <w:t>积极推进预算综合管理改革，不断完善预算支出定额标准，强化预算绩效管理，盘活存量资金，加快预算执行进度，提高财政资金使用效益。</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b/>
          <w:color w:val="FF0000"/>
          <w:sz w:val="32"/>
          <w:szCs w:val="32"/>
        </w:rPr>
        <w:t>4</w:t>
      </w:r>
      <w:r>
        <w:rPr>
          <w:rFonts w:hint="eastAsia" w:ascii="仿宋_GB2312" w:eastAsia="仿宋_GB2312"/>
          <w:b/>
          <w:color w:val="FF0000"/>
          <w:sz w:val="32"/>
          <w:szCs w:val="32"/>
        </w:rPr>
        <w:t>、规范透明，硬化约束。</w:t>
      </w:r>
      <w:r>
        <w:rPr>
          <w:rFonts w:hint="eastAsia" w:ascii="仿宋_GB2312" w:eastAsia="仿宋_GB2312"/>
          <w:sz w:val="32"/>
          <w:szCs w:val="32"/>
        </w:rPr>
        <w:t>规范预算编制，夯实预算公开基础，增强财政资金分配透明度，加快预算批复、下达，及时公开预算。</w:t>
      </w:r>
      <w:r>
        <w:rPr>
          <w:rFonts w:hint="eastAsia" w:ascii="仿宋_GB2312" w:eastAsia="仿宋_GB2312"/>
          <w:color w:val="FF0000"/>
          <w:sz w:val="32"/>
          <w:szCs w:val="32"/>
        </w:rPr>
        <w:t>预算一经批准，不得随意调整，年中原则上不再追加。</w:t>
      </w:r>
    </w:p>
    <w:p>
      <w:pPr>
        <w:adjustRightInd w:val="0"/>
        <w:snapToGrid w:val="0"/>
        <w:spacing w:line="560" w:lineRule="exact"/>
        <w:ind w:firstLine="31680" w:firstLineChars="200"/>
        <w:rPr>
          <w:rFonts w:ascii="黑体" w:eastAsia="黑体"/>
          <w:sz w:val="32"/>
          <w:szCs w:val="32"/>
        </w:rPr>
      </w:pPr>
      <w:r>
        <w:rPr>
          <w:rFonts w:hint="eastAsia" w:ascii="黑体" w:eastAsia="黑体"/>
          <w:sz w:val="32"/>
          <w:szCs w:val="32"/>
        </w:rPr>
        <w:t>三、主要措施</w:t>
      </w:r>
    </w:p>
    <w:p>
      <w:pPr>
        <w:adjustRightInd w:val="0"/>
        <w:snapToGrid w:val="0"/>
        <w:spacing w:line="560" w:lineRule="exact"/>
        <w:ind w:firstLine="31680" w:firstLineChars="200"/>
        <w:rPr>
          <w:rFonts w:ascii="楷体_GB2312" w:eastAsia="楷体_GB2312"/>
          <w:b/>
          <w:sz w:val="32"/>
          <w:szCs w:val="32"/>
        </w:rPr>
      </w:pPr>
      <w:r>
        <w:rPr>
          <w:rFonts w:hint="eastAsia" w:ascii="楷体_GB2312" w:eastAsia="楷体_GB2312"/>
          <w:b/>
          <w:sz w:val="32"/>
          <w:szCs w:val="32"/>
        </w:rPr>
        <w:t>（一）立足精细化，完善全口径政府预算编制</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color w:val="FF0000"/>
          <w:sz w:val="32"/>
          <w:szCs w:val="32"/>
        </w:rPr>
        <w:t>1</w:t>
      </w:r>
      <w:r>
        <w:rPr>
          <w:rFonts w:hint="eastAsia" w:ascii="仿宋_GB2312" w:eastAsia="仿宋_GB2312"/>
          <w:color w:val="FF0000"/>
          <w:sz w:val="32"/>
          <w:szCs w:val="32"/>
        </w:rPr>
        <w:t>、细化全口径预算编制。</w:t>
      </w:r>
      <w:r>
        <w:rPr>
          <w:rFonts w:hint="eastAsia" w:ascii="仿宋_GB2312" w:eastAsia="仿宋_GB2312"/>
          <w:sz w:val="32"/>
          <w:szCs w:val="32"/>
        </w:rPr>
        <w:t>一是规范收支分类科目使用。细化预算草案，一般公共预算支出，按功能分类编列到项，按经济性质分类，基本支出编列到款。按照《</w:t>
      </w:r>
      <w:r>
        <w:rPr>
          <w:rFonts w:ascii="仿宋_GB2312" w:eastAsia="仿宋_GB2312"/>
          <w:sz w:val="32"/>
          <w:szCs w:val="32"/>
        </w:rPr>
        <w:t>2017</w:t>
      </w:r>
      <w:r>
        <w:rPr>
          <w:rFonts w:hint="eastAsia" w:ascii="仿宋_GB2312" w:eastAsia="仿宋_GB2312"/>
          <w:sz w:val="32"/>
          <w:szCs w:val="32"/>
        </w:rPr>
        <w:t>年政府收支分类科目》编列预算支出科目，原则上编报的功能科目和基本支出经济分类科目不得调整。厘清日常公用支出及专项公用类支出边界，规范列入日常公用经费、专项公用类项目支出预算经济科目。二是完善国有资本经营预算编制，凡符合条件的企业均要求纳入编制范围；对非垄断国有独资公司国有资本收益收缴比例由</w:t>
      </w:r>
      <w:r>
        <w:rPr>
          <w:rFonts w:ascii="仿宋_GB2312" w:eastAsia="仿宋_GB2312"/>
          <w:sz w:val="32"/>
          <w:szCs w:val="32"/>
        </w:rPr>
        <w:t>15%</w:t>
      </w:r>
      <w:r>
        <w:rPr>
          <w:rFonts w:hint="eastAsia" w:ascii="仿宋_GB2312" w:eastAsia="仿宋_GB2312"/>
          <w:sz w:val="32"/>
          <w:szCs w:val="32"/>
        </w:rPr>
        <w:t>调整为</w:t>
      </w:r>
      <w:r>
        <w:rPr>
          <w:rFonts w:ascii="仿宋_GB2312" w:eastAsia="仿宋_GB2312"/>
          <w:sz w:val="32"/>
          <w:szCs w:val="32"/>
        </w:rPr>
        <w:t>20%</w:t>
      </w:r>
      <w:r>
        <w:rPr>
          <w:rFonts w:hint="eastAsia" w:ascii="仿宋_GB2312" w:eastAsia="仿宋_GB2312"/>
          <w:sz w:val="32"/>
          <w:szCs w:val="32"/>
        </w:rPr>
        <w:t>。继续将市级国有经营预算收入全部安排补充社会保险基金支出，市政府另有规定的，从其规定。</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color w:val="FF0000"/>
          <w:sz w:val="32"/>
          <w:szCs w:val="32"/>
        </w:rPr>
        <w:t>2</w:t>
      </w:r>
      <w:r>
        <w:rPr>
          <w:rFonts w:hint="eastAsia" w:ascii="仿宋_GB2312" w:eastAsia="仿宋_GB2312"/>
          <w:color w:val="FF0000"/>
          <w:sz w:val="32"/>
          <w:szCs w:val="32"/>
        </w:rPr>
        <w:t>、细化财政专项资金预算编制。</w:t>
      </w:r>
      <w:r>
        <w:rPr>
          <w:rFonts w:hint="eastAsia" w:ascii="仿宋_GB2312" w:eastAsia="仿宋_GB2312"/>
          <w:sz w:val="32"/>
          <w:szCs w:val="32"/>
        </w:rPr>
        <w:t>完善人才、文化、科技、旅游、现代农业等财政专项资金预算编报，根据</w:t>
      </w:r>
      <w:r>
        <w:rPr>
          <w:rFonts w:ascii="仿宋_GB2312" w:eastAsia="仿宋_GB2312"/>
          <w:sz w:val="32"/>
          <w:szCs w:val="32"/>
        </w:rPr>
        <w:t>2016</w:t>
      </w:r>
      <w:r>
        <w:rPr>
          <w:rFonts w:hint="eastAsia" w:ascii="仿宋_GB2312" w:eastAsia="仿宋_GB2312"/>
          <w:sz w:val="32"/>
          <w:szCs w:val="32"/>
        </w:rPr>
        <w:t>年执行情况调整完善安排专项资金，原则上要求在“二上”时由主管单位提出分配方案，“二下”前细化编入相关部门预算。主管单位未能提出分配方案的，“二下”前编入主管单位预算。</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color w:val="FF0000"/>
          <w:sz w:val="32"/>
          <w:szCs w:val="32"/>
        </w:rPr>
        <w:t>3</w:t>
      </w:r>
      <w:r>
        <w:rPr>
          <w:rFonts w:hint="eastAsia" w:ascii="仿宋_GB2312" w:eastAsia="仿宋_GB2312"/>
          <w:color w:val="FF0000"/>
          <w:sz w:val="32"/>
          <w:szCs w:val="32"/>
        </w:rPr>
        <w:t>、细化转移支付预算编制。</w:t>
      </w:r>
      <w:r>
        <w:rPr>
          <w:rFonts w:hint="eastAsia" w:ascii="仿宋_GB2312" w:eastAsia="仿宋_GB2312"/>
          <w:sz w:val="32"/>
          <w:szCs w:val="32"/>
        </w:rPr>
        <w:t>一是根据省对市财政体制规定，将区域统筹发展收入激励奖励资金安排的专项性一般转移支付项目，提前分配下达到三个县（市）。二是根据《预算法》规定，及时将上级政府提前下达的转移支付预计数编入</w:t>
      </w:r>
      <w:r>
        <w:rPr>
          <w:rFonts w:ascii="仿宋_GB2312" w:eastAsia="仿宋_GB2312"/>
          <w:sz w:val="32"/>
          <w:szCs w:val="32"/>
        </w:rPr>
        <w:t>2017</w:t>
      </w:r>
      <w:r>
        <w:rPr>
          <w:rFonts w:hint="eastAsia" w:ascii="仿宋_GB2312" w:eastAsia="仿宋_GB2312"/>
          <w:sz w:val="32"/>
          <w:szCs w:val="32"/>
        </w:rPr>
        <w:t>年市级预算，各主管部门要积极与省级部门对接，对提前下达的</w:t>
      </w:r>
      <w:r>
        <w:rPr>
          <w:rFonts w:ascii="仿宋_GB2312" w:eastAsia="仿宋_GB2312"/>
          <w:sz w:val="32"/>
          <w:szCs w:val="32"/>
        </w:rPr>
        <w:t>2017</w:t>
      </w:r>
      <w:r>
        <w:rPr>
          <w:rFonts w:hint="eastAsia" w:ascii="仿宋_GB2312" w:eastAsia="仿宋_GB2312"/>
          <w:sz w:val="32"/>
          <w:szCs w:val="32"/>
        </w:rPr>
        <w:t>年转移支付资金提出分配方案，并编入</w:t>
      </w:r>
      <w:r>
        <w:rPr>
          <w:rFonts w:ascii="仿宋_GB2312" w:eastAsia="仿宋_GB2312"/>
          <w:sz w:val="32"/>
          <w:szCs w:val="32"/>
        </w:rPr>
        <w:t>2017</w:t>
      </w:r>
      <w:r>
        <w:rPr>
          <w:rFonts w:hint="eastAsia" w:ascii="仿宋_GB2312" w:eastAsia="仿宋_GB2312"/>
          <w:sz w:val="32"/>
          <w:szCs w:val="32"/>
        </w:rPr>
        <w:t>年部门预算。</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color w:val="FF0000"/>
          <w:sz w:val="32"/>
          <w:szCs w:val="32"/>
        </w:rPr>
        <w:t>4</w:t>
      </w:r>
      <w:r>
        <w:rPr>
          <w:rFonts w:hint="eastAsia" w:ascii="仿宋_GB2312" w:eastAsia="仿宋_GB2312"/>
          <w:color w:val="FF0000"/>
          <w:sz w:val="32"/>
          <w:szCs w:val="32"/>
        </w:rPr>
        <w:t>、强化预算编制审核。</w:t>
      </w:r>
      <w:r>
        <w:rPr>
          <w:rFonts w:hint="eastAsia" w:ascii="仿宋_GB2312" w:eastAsia="仿宋_GB2312"/>
          <w:sz w:val="32"/>
          <w:szCs w:val="32"/>
        </w:rPr>
        <w:t>严格按照</w:t>
      </w:r>
      <w:r>
        <w:rPr>
          <w:rFonts w:hint="eastAsia" w:ascii="仿宋_GB2312" w:eastAsia="仿宋_GB2312"/>
          <w:color w:val="FF0000"/>
          <w:sz w:val="32"/>
          <w:szCs w:val="32"/>
        </w:rPr>
        <w:t>市编委办实名制系统</w:t>
      </w:r>
      <w:r>
        <w:rPr>
          <w:rFonts w:hint="eastAsia" w:ascii="仿宋_GB2312" w:eastAsia="仿宋_GB2312"/>
          <w:sz w:val="32"/>
          <w:szCs w:val="32"/>
        </w:rPr>
        <w:t>的实际人数和市人力社保局核定的基本工资、津贴补贴、绩效工资等标准和其他预算编制标准，审核编制基本支出预算。</w:t>
      </w:r>
      <w:r>
        <w:rPr>
          <w:rFonts w:hint="eastAsia" w:ascii="仿宋_GB2312" w:eastAsia="仿宋_GB2312"/>
          <w:color w:val="FF0000"/>
          <w:sz w:val="32"/>
          <w:szCs w:val="32"/>
        </w:rPr>
        <w:t>对办公用房维修改造项目</w:t>
      </w:r>
      <w:r>
        <w:rPr>
          <w:rFonts w:hint="eastAsia" w:ascii="仿宋_GB2312" w:eastAsia="仿宋_GB2312"/>
          <w:sz w:val="32"/>
          <w:szCs w:val="32"/>
        </w:rPr>
        <w:t>，需报市机管局进行预审核；</w:t>
      </w:r>
      <w:r>
        <w:rPr>
          <w:rFonts w:hint="eastAsia" w:ascii="仿宋_GB2312" w:eastAsia="仿宋_GB2312"/>
          <w:color w:val="FF0000"/>
          <w:sz w:val="32"/>
          <w:szCs w:val="32"/>
        </w:rPr>
        <w:t>对网络购建和网络线路租赁等电子政务项目</w:t>
      </w:r>
      <w:r>
        <w:rPr>
          <w:rFonts w:hint="eastAsia" w:ascii="仿宋_GB2312" w:eastAsia="仿宋_GB2312"/>
          <w:sz w:val="32"/>
          <w:szCs w:val="32"/>
        </w:rPr>
        <w:t>，需报市电子政务项目预审办预审核；</w:t>
      </w:r>
      <w:r>
        <w:rPr>
          <w:rFonts w:hint="eastAsia" w:ascii="仿宋_GB2312" w:eastAsia="仿宋_GB2312"/>
          <w:color w:val="FF0000"/>
          <w:sz w:val="32"/>
          <w:szCs w:val="32"/>
        </w:rPr>
        <w:t>对</w:t>
      </w:r>
      <w:bookmarkStart w:id="10" w:name="_GoBack"/>
      <w:bookmarkEnd w:id="10"/>
      <w:r>
        <w:rPr>
          <w:rFonts w:hint="eastAsia" w:ascii="仿宋_GB2312" w:eastAsia="仿宋_GB2312"/>
          <w:color w:val="FF0000"/>
          <w:sz w:val="32"/>
          <w:szCs w:val="32"/>
        </w:rPr>
        <w:t>房屋建筑物购建类、</w:t>
      </w:r>
      <w:r>
        <w:rPr>
          <w:rFonts w:ascii="仿宋_GB2312" w:eastAsia="仿宋_GB2312"/>
          <w:color w:val="FF0000"/>
          <w:sz w:val="32"/>
          <w:szCs w:val="32"/>
        </w:rPr>
        <w:t>50</w:t>
      </w:r>
      <w:r>
        <w:rPr>
          <w:rFonts w:hint="eastAsia" w:ascii="仿宋_GB2312" w:eastAsia="仿宋_GB2312"/>
          <w:color w:val="FF0000"/>
          <w:sz w:val="32"/>
          <w:szCs w:val="32"/>
        </w:rPr>
        <w:t>万元以上专业设备购置类和其他专业技术较复杂的项目</w:t>
      </w:r>
      <w:r>
        <w:rPr>
          <w:rFonts w:hint="eastAsia" w:ascii="仿宋_GB2312" w:eastAsia="仿宋_GB2312"/>
          <w:sz w:val="32"/>
          <w:szCs w:val="32"/>
        </w:rPr>
        <w:t>，由市财政项目预算审核中心预审核，其预审核意见将作为预算安排的必要依据；</w:t>
      </w:r>
      <w:r>
        <w:rPr>
          <w:rFonts w:hint="eastAsia" w:ascii="仿宋_GB2312" w:eastAsia="仿宋_GB2312"/>
          <w:color w:val="FF0000"/>
          <w:sz w:val="32"/>
          <w:szCs w:val="32"/>
        </w:rPr>
        <w:t>对</w:t>
      </w:r>
      <w:r>
        <w:rPr>
          <w:rFonts w:ascii="仿宋_GB2312" w:eastAsia="仿宋_GB2312"/>
          <w:color w:val="FF0000"/>
          <w:sz w:val="32"/>
          <w:szCs w:val="32"/>
        </w:rPr>
        <w:t>2017</w:t>
      </w:r>
      <w:r>
        <w:rPr>
          <w:rFonts w:hint="eastAsia" w:ascii="仿宋_GB2312" w:eastAsia="仿宋_GB2312"/>
          <w:color w:val="FF0000"/>
          <w:sz w:val="32"/>
          <w:szCs w:val="32"/>
        </w:rPr>
        <w:t>年新增项目</w:t>
      </w:r>
      <w:r>
        <w:rPr>
          <w:rFonts w:hint="eastAsia" w:ascii="仿宋_GB2312" w:eastAsia="仿宋_GB2312"/>
          <w:sz w:val="32"/>
          <w:szCs w:val="32"/>
        </w:rPr>
        <w:t>，原则上应进行绩效目标评审后方可列入预算。</w:t>
      </w:r>
    </w:p>
    <w:p>
      <w:pPr>
        <w:adjustRightInd w:val="0"/>
        <w:snapToGrid w:val="0"/>
        <w:spacing w:line="560" w:lineRule="exact"/>
        <w:ind w:firstLine="31680" w:firstLineChars="196"/>
        <w:rPr>
          <w:rFonts w:ascii="楷体_GB2312" w:eastAsia="楷体_GB2312"/>
          <w:b/>
          <w:sz w:val="32"/>
          <w:szCs w:val="32"/>
        </w:rPr>
      </w:pPr>
      <w:r>
        <w:rPr>
          <w:rFonts w:hint="eastAsia" w:ascii="楷体_GB2312" w:eastAsia="楷体_GB2312"/>
          <w:b/>
          <w:sz w:val="32"/>
          <w:szCs w:val="32"/>
        </w:rPr>
        <w:t>（二）立足标准化，完善部门预算编制管理</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、继续完善支出标准定额。</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color w:val="FF0000"/>
          <w:sz w:val="32"/>
          <w:szCs w:val="32"/>
        </w:rPr>
        <w:t>(1)</w:t>
      </w:r>
      <w:r>
        <w:rPr>
          <w:rFonts w:hint="eastAsia" w:ascii="仿宋_GB2312" w:eastAsia="仿宋_GB2312"/>
          <w:color w:val="FF0000"/>
          <w:sz w:val="32"/>
          <w:szCs w:val="32"/>
        </w:rPr>
        <w:t>调整职工福利费提取比例。</w:t>
      </w:r>
      <w:r>
        <w:rPr>
          <w:rFonts w:hint="eastAsia" w:ascii="仿宋_GB2312" w:eastAsia="仿宋_GB2312"/>
          <w:sz w:val="32"/>
          <w:szCs w:val="32"/>
        </w:rPr>
        <w:t>市级机关单位工作人员的福利费按工资总额（含津贴补贴、离退休费）的</w:t>
      </w:r>
      <w:r>
        <w:rPr>
          <w:rFonts w:ascii="仿宋_GB2312" w:eastAsia="仿宋_GB2312"/>
          <w:color w:val="FF0000"/>
          <w:sz w:val="32"/>
          <w:szCs w:val="32"/>
        </w:rPr>
        <w:t>5%</w:t>
      </w:r>
      <w:r>
        <w:rPr>
          <w:rFonts w:hint="eastAsia" w:ascii="仿宋_GB2312" w:eastAsia="仿宋_GB2312"/>
          <w:color w:val="FF0000"/>
          <w:sz w:val="32"/>
          <w:szCs w:val="32"/>
        </w:rPr>
        <w:t>计提</w:t>
      </w:r>
      <w:r>
        <w:rPr>
          <w:rFonts w:hint="eastAsia" w:ascii="仿宋_GB2312" w:eastAsia="仿宋_GB2312"/>
          <w:sz w:val="32"/>
          <w:szCs w:val="32"/>
        </w:rPr>
        <w:t>。在编在职工作人员在</w:t>
      </w:r>
      <w:r>
        <w:rPr>
          <w:rFonts w:ascii="仿宋_GB2312" w:eastAsia="仿宋_GB2312"/>
          <w:sz w:val="32"/>
          <w:szCs w:val="32"/>
        </w:rPr>
        <w:t>20</w:t>
      </w:r>
      <w:r>
        <w:rPr>
          <w:rFonts w:hint="eastAsia" w:ascii="仿宋_GB2312" w:eastAsia="仿宋_GB2312"/>
          <w:sz w:val="32"/>
          <w:szCs w:val="32"/>
        </w:rPr>
        <w:t>人（含）以下的单位，按</w:t>
      </w:r>
      <w:r>
        <w:rPr>
          <w:rFonts w:ascii="仿宋_GB2312" w:eastAsia="仿宋_GB2312"/>
          <w:sz w:val="32"/>
          <w:szCs w:val="32"/>
        </w:rPr>
        <w:t>1.2</w:t>
      </w:r>
      <w:r>
        <w:rPr>
          <w:rFonts w:hint="eastAsia" w:ascii="仿宋_GB2312" w:eastAsia="仿宋_GB2312"/>
          <w:sz w:val="32"/>
          <w:szCs w:val="32"/>
        </w:rPr>
        <w:t>倍的提取比例计提。事业单位参照执行。</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color w:val="FF0000"/>
          <w:sz w:val="32"/>
          <w:szCs w:val="32"/>
        </w:rPr>
        <w:t>(2)</w:t>
      </w:r>
      <w:r>
        <w:rPr>
          <w:rFonts w:hint="eastAsia" w:ascii="仿宋_GB2312" w:eastAsia="仿宋_GB2312"/>
          <w:color w:val="FF0000"/>
          <w:sz w:val="32"/>
          <w:szCs w:val="32"/>
        </w:rPr>
        <w:t>调整物业管理费定额标准。</w:t>
      </w:r>
      <w:r>
        <w:rPr>
          <w:rFonts w:hint="eastAsia" w:ascii="仿宋_GB2312" w:eastAsia="仿宋_GB2312"/>
          <w:sz w:val="32"/>
          <w:szCs w:val="32"/>
        </w:rPr>
        <w:t>物业管理费标准按建筑面积每平米不高于</w:t>
      </w:r>
      <w:r>
        <w:rPr>
          <w:rFonts w:ascii="仿宋_GB2312" w:eastAsia="仿宋_GB2312"/>
          <w:sz w:val="32"/>
          <w:szCs w:val="32"/>
        </w:rPr>
        <w:t>35</w:t>
      </w:r>
      <w:r>
        <w:rPr>
          <w:rFonts w:hint="eastAsia" w:ascii="仿宋_GB2312" w:eastAsia="仿宋_GB2312"/>
          <w:sz w:val="32"/>
          <w:szCs w:val="32"/>
        </w:rPr>
        <w:t>元安排，开支范围为：办公用房日常管理与维护、办公区域秩序维护、安全保卫（保安费），环境卫生保洁服务（保洁费），绿化养护服务（绿化费），办公设备设施的日常运行维护服务（日常维修护费）等。为倡导“绿色办公”，践行部门单位节能降耗责任，</w:t>
      </w:r>
      <w:r>
        <w:rPr>
          <w:rFonts w:ascii="仿宋_GB2312" w:eastAsia="仿宋_GB2312"/>
          <w:sz w:val="32"/>
          <w:szCs w:val="32"/>
        </w:rPr>
        <w:t xml:space="preserve"> 2017</w:t>
      </w:r>
      <w:r>
        <w:rPr>
          <w:rFonts w:hint="eastAsia" w:ascii="仿宋_GB2312" w:eastAsia="仿宋_GB2312"/>
          <w:sz w:val="32"/>
          <w:szCs w:val="32"/>
        </w:rPr>
        <w:t>年水电费预算将按</w:t>
      </w:r>
      <w:r>
        <w:rPr>
          <w:rFonts w:ascii="仿宋_GB2312" w:eastAsia="仿宋_GB2312"/>
          <w:sz w:val="32"/>
          <w:szCs w:val="32"/>
        </w:rPr>
        <w:t>2016</w:t>
      </w:r>
      <w:r>
        <w:rPr>
          <w:rFonts w:hint="eastAsia" w:ascii="仿宋_GB2312" w:eastAsia="仿宋_GB2312"/>
          <w:sz w:val="32"/>
          <w:szCs w:val="32"/>
        </w:rPr>
        <w:t>年支出数安排，原则上不得增加。</w:t>
      </w:r>
      <w:r>
        <w:rPr>
          <w:rFonts w:ascii="仿宋_GB2312" w:eastAsia="仿宋_GB2312"/>
          <w:sz w:val="32"/>
          <w:szCs w:val="32"/>
        </w:rPr>
        <w:t>2017</w:t>
      </w:r>
      <w:r>
        <w:rPr>
          <w:rFonts w:hint="eastAsia" w:ascii="仿宋_GB2312" w:eastAsia="仿宋_GB2312"/>
          <w:sz w:val="32"/>
          <w:szCs w:val="32"/>
        </w:rPr>
        <w:t>年安排的物业管理费及水电费支出预算不得超过</w:t>
      </w:r>
      <w:r>
        <w:rPr>
          <w:rFonts w:ascii="仿宋_GB2312" w:eastAsia="仿宋_GB2312"/>
          <w:sz w:val="32"/>
          <w:szCs w:val="32"/>
        </w:rPr>
        <w:t>2016</w:t>
      </w:r>
      <w:r>
        <w:rPr>
          <w:rFonts w:hint="eastAsia" w:ascii="仿宋_GB2312" w:eastAsia="仿宋_GB2312"/>
          <w:sz w:val="32"/>
          <w:szCs w:val="32"/>
        </w:rPr>
        <w:t>年物业管理费类项目支出数。</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color w:val="FF0000"/>
          <w:sz w:val="32"/>
          <w:szCs w:val="32"/>
        </w:rPr>
        <w:t>(3)</w:t>
      </w:r>
      <w:r>
        <w:rPr>
          <w:rFonts w:hint="eastAsia" w:ascii="仿宋_GB2312" w:eastAsia="仿宋_GB2312"/>
          <w:color w:val="FF0000"/>
          <w:sz w:val="32"/>
          <w:szCs w:val="32"/>
        </w:rPr>
        <w:t>调整编外用工经费定额标准。</w:t>
      </w:r>
      <w:r>
        <w:rPr>
          <w:rFonts w:hint="eastAsia" w:ascii="仿宋_GB2312" w:eastAsia="仿宋_GB2312"/>
          <w:sz w:val="32"/>
          <w:szCs w:val="32"/>
        </w:rPr>
        <w:t>考虑到社会保险缴费基数、最低工资标准等调整因素，在</w:t>
      </w:r>
      <w:r>
        <w:rPr>
          <w:rFonts w:ascii="仿宋_GB2312" w:eastAsia="仿宋_GB2312"/>
          <w:sz w:val="32"/>
          <w:szCs w:val="32"/>
        </w:rPr>
        <w:t>2016</w:t>
      </w:r>
      <w:r>
        <w:rPr>
          <w:rFonts w:hint="eastAsia" w:ascii="仿宋_GB2312" w:eastAsia="仿宋_GB2312"/>
          <w:sz w:val="32"/>
          <w:szCs w:val="32"/>
        </w:rPr>
        <w:t>年调整基础上，从</w:t>
      </w:r>
      <w:r>
        <w:rPr>
          <w:rFonts w:ascii="仿宋_GB2312" w:eastAsia="仿宋_GB2312"/>
          <w:sz w:val="32"/>
          <w:szCs w:val="32"/>
        </w:rPr>
        <w:t>2017</w:t>
      </w:r>
      <w:r>
        <w:rPr>
          <w:rFonts w:hint="eastAsia" w:ascii="仿宋_GB2312" w:eastAsia="仿宋_GB2312"/>
          <w:sz w:val="32"/>
          <w:szCs w:val="32"/>
        </w:rPr>
        <w:t>年起，根据岗位类别不同，年定额标准提高</w:t>
      </w:r>
      <w:r>
        <w:rPr>
          <w:rFonts w:ascii="仿宋_GB2312" w:eastAsia="仿宋_GB2312"/>
          <w:sz w:val="32"/>
          <w:szCs w:val="32"/>
        </w:rPr>
        <w:t>2000</w:t>
      </w:r>
      <w:r>
        <w:rPr>
          <w:rFonts w:hint="eastAsia" w:ascii="仿宋_GB2312" w:eastAsia="仿宋_GB2312"/>
          <w:sz w:val="32"/>
          <w:szCs w:val="32"/>
        </w:rPr>
        <w:t>元至</w:t>
      </w:r>
      <w:r>
        <w:rPr>
          <w:rFonts w:ascii="仿宋_GB2312" w:eastAsia="仿宋_GB2312"/>
          <w:sz w:val="32"/>
          <w:szCs w:val="32"/>
        </w:rPr>
        <w:t>4000</w:t>
      </w:r>
      <w:r>
        <w:rPr>
          <w:rFonts w:hint="eastAsia" w:ascii="仿宋_GB2312" w:eastAsia="仿宋_GB2312"/>
          <w:sz w:val="32"/>
          <w:szCs w:val="32"/>
        </w:rPr>
        <w:t>元，其他要求仍按照绍政办发〔</w:t>
      </w:r>
      <w:r>
        <w:rPr>
          <w:rFonts w:ascii="仿宋_GB2312" w:eastAsia="仿宋_GB2312"/>
          <w:sz w:val="32"/>
          <w:szCs w:val="32"/>
        </w:rPr>
        <w:t>2014</w:t>
      </w:r>
      <w:r>
        <w:rPr>
          <w:rFonts w:hint="eastAsia" w:ascii="仿宋_GB2312" w:eastAsia="仿宋_GB2312"/>
          <w:sz w:val="32"/>
          <w:szCs w:val="32"/>
        </w:rPr>
        <w:t>〕</w:t>
      </w:r>
      <w:r>
        <w:rPr>
          <w:rFonts w:ascii="仿宋_GB2312" w:eastAsia="仿宋_GB2312"/>
          <w:sz w:val="32"/>
          <w:szCs w:val="32"/>
        </w:rPr>
        <w:t>64</w:t>
      </w:r>
      <w:r>
        <w:rPr>
          <w:rFonts w:hint="eastAsia" w:ascii="仿宋_GB2312" w:eastAsia="仿宋_GB2312"/>
          <w:sz w:val="32"/>
          <w:szCs w:val="32"/>
        </w:rPr>
        <w:t>号文件规定执行。</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color w:val="FF0000"/>
          <w:sz w:val="32"/>
          <w:szCs w:val="32"/>
        </w:rPr>
        <w:t>(4)</w:t>
      </w:r>
      <w:r>
        <w:rPr>
          <w:rFonts w:hint="eastAsia" w:ascii="仿宋_GB2312" w:eastAsia="仿宋_GB2312"/>
          <w:color w:val="FF0000"/>
          <w:sz w:val="32"/>
          <w:szCs w:val="32"/>
        </w:rPr>
        <w:t>统一网络租赁费用标准。</w:t>
      </w:r>
      <w:r>
        <w:rPr>
          <w:rFonts w:hint="eastAsia" w:ascii="仿宋_GB2312" w:eastAsia="仿宋_GB2312"/>
          <w:sz w:val="32"/>
          <w:szCs w:val="32"/>
        </w:rPr>
        <w:t>实行网络租赁定点协议采购，统一网络租赁费协议采购价格。预算单位日常工作所需的网络线路应统一使用市政务外网，专项工作需要租用互联网出口线路或专用网络线路的，根据市电子政务项目预审办审核意见，按协议采购价格安排预算。</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调整完善公办中职学校生均公用经费标准。根据省财政厅、教育厅、人力社保厅联合下发的《关于中等职业学校生均公用经费标准的通知》（浙财教〔</w:t>
      </w:r>
      <w:r>
        <w:rPr>
          <w:rFonts w:ascii="仿宋_GB2312" w:eastAsia="仿宋_GB2312"/>
          <w:sz w:val="32"/>
          <w:szCs w:val="32"/>
        </w:rPr>
        <w:t>2016</w:t>
      </w:r>
      <w:r>
        <w:rPr>
          <w:rFonts w:hint="eastAsia" w:ascii="仿宋_GB2312" w:eastAsia="仿宋_GB2312"/>
          <w:sz w:val="32"/>
          <w:szCs w:val="32"/>
        </w:rPr>
        <w:t>〕</w:t>
      </w:r>
      <w:r>
        <w:rPr>
          <w:rFonts w:ascii="仿宋_GB2312" w:eastAsia="仿宋_GB2312"/>
          <w:sz w:val="32"/>
          <w:szCs w:val="32"/>
        </w:rPr>
        <w:t>3</w:t>
      </w:r>
      <w:r>
        <w:rPr>
          <w:rFonts w:hint="eastAsia" w:ascii="仿宋_GB2312" w:eastAsia="仿宋_GB2312"/>
          <w:sz w:val="32"/>
          <w:szCs w:val="32"/>
        </w:rPr>
        <w:t>号）要求，从</w:t>
      </w:r>
      <w:r>
        <w:rPr>
          <w:rFonts w:ascii="仿宋_GB2312" w:eastAsia="仿宋_GB2312"/>
          <w:sz w:val="32"/>
          <w:szCs w:val="32"/>
        </w:rPr>
        <w:t>2017</w:t>
      </w:r>
      <w:r>
        <w:rPr>
          <w:rFonts w:hint="eastAsia" w:ascii="仿宋_GB2312" w:eastAsia="仿宋_GB2312"/>
          <w:sz w:val="32"/>
          <w:szCs w:val="32"/>
        </w:rPr>
        <w:t>年起，全日制公办中职学校生均公用经费标准调整为</w:t>
      </w:r>
      <w:r>
        <w:rPr>
          <w:rFonts w:ascii="仿宋_GB2312" w:eastAsia="仿宋_GB2312"/>
          <w:sz w:val="32"/>
          <w:szCs w:val="32"/>
        </w:rPr>
        <w:t>2500</w:t>
      </w:r>
      <w:r>
        <w:rPr>
          <w:rFonts w:hint="eastAsia" w:ascii="仿宋_GB2312" w:eastAsia="仿宋_GB2312"/>
          <w:sz w:val="32"/>
          <w:szCs w:val="32"/>
        </w:rPr>
        <w:t>元</w:t>
      </w:r>
      <w:r>
        <w:rPr>
          <w:rFonts w:ascii="仿宋_GB2312" w:eastAsia="仿宋_GB2312"/>
          <w:sz w:val="32"/>
          <w:szCs w:val="32"/>
        </w:rPr>
        <w:t>/</w:t>
      </w:r>
      <w:r>
        <w:rPr>
          <w:rFonts w:hint="eastAsia" w:ascii="仿宋_GB2312" w:eastAsia="仿宋_GB2312"/>
          <w:sz w:val="32"/>
          <w:szCs w:val="32"/>
        </w:rPr>
        <w:t>生</w:t>
      </w:r>
      <w:r>
        <w:rPr>
          <w:rFonts w:ascii="宋体" w:cs="宋体"/>
          <w:sz w:val="32"/>
          <w:szCs w:val="32"/>
        </w:rPr>
        <w:t>•</w:t>
      </w:r>
      <w:r>
        <w:rPr>
          <w:rFonts w:hint="eastAsia" w:ascii="仿宋_GB2312" w:hAnsi="仿宋_GB2312" w:eastAsia="仿宋_GB2312" w:cs="仿宋_GB2312"/>
          <w:sz w:val="32"/>
          <w:szCs w:val="32"/>
        </w:rPr>
        <w:t>年。</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、探索项目支出预算项目分类标准化。</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实行分级管理。将市级部门项目支出预算项目分为一级项目和二级项目两个层次。其中：一级项目按预算单位“三定方案”的职责（且未纳入日常公用支出范围）大类设置，应以支出功能分类的项级功能科目为基础，如个别项级功能科目不够细化，可以按照单位职责增设一级项目，每个单位一级项目原则上应控制在</w:t>
      </w:r>
      <w:r>
        <w:rPr>
          <w:rFonts w:ascii="仿宋_GB2312" w:eastAsia="仿宋_GB2312"/>
          <w:sz w:val="32"/>
          <w:szCs w:val="32"/>
        </w:rPr>
        <w:t>5</w:t>
      </w:r>
      <w:r>
        <w:rPr>
          <w:rFonts w:hint="eastAsia" w:ascii="仿宋_GB2312" w:eastAsia="仿宋_GB2312"/>
          <w:sz w:val="32"/>
          <w:szCs w:val="32"/>
        </w:rPr>
        <w:t>个左右，项目一经设立，原则上相对稳定。二级项目是预算单位为完成一级项目的工作任务或活动内容而设立，一般一个一级项目下设置二级项目不超过</w:t>
      </w:r>
      <w:r>
        <w:rPr>
          <w:rFonts w:ascii="仿宋_GB2312" w:eastAsia="仿宋_GB2312"/>
          <w:sz w:val="32"/>
          <w:szCs w:val="32"/>
        </w:rPr>
        <w:t>5</w:t>
      </w:r>
      <w:r>
        <w:rPr>
          <w:rFonts w:hint="eastAsia" w:ascii="仿宋_GB2312" w:eastAsia="仿宋_GB2312"/>
          <w:sz w:val="32"/>
          <w:szCs w:val="32"/>
        </w:rPr>
        <w:t>个，项目设置应符合市委、市政府重大决策部署。</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规范整合项目。各单位在部门预算“一上”申报时，提出一级项目设置或调整建议，包括项目名称、依据、实施内容、支出范围、绩效目标等。在现有项目基础上规范整合为新的二级项目，并按一级项目分类纳入相应的一级项目管理。现有项目中名称不规范、内容相似、边界不清、绩效不明确的二级项目应归并整合规范为新的二级项目。</w:t>
      </w:r>
    </w:p>
    <w:p>
      <w:pPr>
        <w:adjustRightInd w:val="0"/>
        <w:snapToGrid w:val="0"/>
        <w:spacing w:line="560" w:lineRule="exact"/>
        <w:ind w:firstLine="31680" w:firstLineChars="200"/>
        <w:rPr>
          <w:rFonts w:ascii="仿宋_GB2312" w:eastAsia="仿宋_GB2312"/>
          <w:sz w:val="32"/>
          <w:szCs w:val="32"/>
        </w:rPr>
      </w:pPr>
      <w:r>
        <w:rPr>
          <w:rFonts w:hint="eastAsia" w:ascii="仿宋_GB2312" w:eastAsia="仿宋_GB2312"/>
          <w:sz w:val="32"/>
          <w:szCs w:val="32"/>
        </w:rPr>
        <w:t>属</w:t>
      </w:r>
      <w:r>
        <w:rPr>
          <w:rFonts w:ascii="仿宋_GB2312" w:eastAsia="仿宋_GB2312"/>
          <w:sz w:val="32"/>
          <w:szCs w:val="32"/>
        </w:rPr>
        <w:t>2016</w:t>
      </w:r>
      <w:r>
        <w:rPr>
          <w:rFonts w:hint="eastAsia" w:ascii="仿宋_GB2312" w:eastAsia="仿宋_GB2312"/>
          <w:sz w:val="32"/>
          <w:szCs w:val="32"/>
        </w:rPr>
        <w:t>年“经常性”“阶段性”等延续性二级项目的支出预算，整合规范后滚动编入</w:t>
      </w:r>
      <w:r>
        <w:rPr>
          <w:rFonts w:ascii="仿宋_GB2312" w:eastAsia="仿宋_GB2312"/>
          <w:sz w:val="32"/>
          <w:szCs w:val="32"/>
        </w:rPr>
        <w:t>2017</w:t>
      </w:r>
      <w:r>
        <w:rPr>
          <w:rFonts w:hint="eastAsia" w:ascii="仿宋_GB2312" w:eastAsia="仿宋_GB2312"/>
          <w:sz w:val="32"/>
          <w:szCs w:val="32"/>
        </w:rPr>
        <w:t>年预算。“经常性”项目经费原则上不增长，如确需调整，作为新项目办理，预算单位须提供完整的申报项目预算材料。“阶段性”项目经费按既定政策规定金额填报，如有变动须申报项目预算相关材料。加强存量调整项目审核，结合部门工作重点任务、项目绩效等方面控制存量项目调整。对于未到期的阶段性项目不得调整用于其他项目。</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w:t>
      </w:r>
      <w:r>
        <w:rPr>
          <w:rFonts w:hint="eastAsia" w:ascii="仿宋_GB2312" w:eastAsia="仿宋_GB2312"/>
          <w:color w:val="FF0000"/>
          <w:sz w:val="32"/>
          <w:szCs w:val="32"/>
        </w:rPr>
        <w:t>严控一般性支出</w:t>
      </w:r>
      <w:r>
        <w:rPr>
          <w:rFonts w:hint="eastAsia" w:ascii="仿宋_GB2312" w:eastAsia="仿宋_GB2312"/>
          <w:sz w:val="32"/>
          <w:szCs w:val="32"/>
        </w:rPr>
        <w:t>。一是严格项目支出管理，除市委市政府确定的重大支出项目外，其他项目预算</w:t>
      </w:r>
      <w:r>
        <w:rPr>
          <w:rFonts w:hint="eastAsia" w:ascii="仿宋_GB2312" w:eastAsia="仿宋_GB2312"/>
          <w:color w:val="FF0000"/>
          <w:sz w:val="32"/>
          <w:szCs w:val="32"/>
        </w:rPr>
        <w:t>原则上“只减不增”</w:t>
      </w:r>
      <w:r>
        <w:rPr>
          <w:rFonts w:hint="eastAsia" w:ascii="仿宋_GB2312" w:eastAsia="仿宋_GB2312"/>
          <w:sz w:val="32"/>
          <w:szCs w:val="32"/>
        </w:rPr>
        <w:t>。二是</w:t>
      </w:r>
      <w:r>
        <w:rPr>
          <w:rFonts w:hint="eastAsia" w:ascii="仿宋_GB2312" w:eastAsia="仿宋_GB2312"/>
          <w:color w:val="FF0000"/>
          <w:sz w:val="32"/>
          <w:szCs w:val="32"/>
        </w:rPr>
        <w:t>严格控制“三公”经费和会议费、培训费预算规模</w:t>
      </w:r>
      <w:r>
        <w:rPr>
          <w:rFonts w:hint="eastAsia" w:ascii="仿宋_GB2312" w:eastAsia="仿宋_GB2312"/>
          <w:sz w:val="32"/>
          <w:szCs w:val="32"/>
        </w:rPr>
        <w:t>，建立健全厉行节约长效机制。按“只减不增”的原则，编制“三公”经费和会议费、培训费预算，并严格执行相应的经费管理办法。教学科研人员因公临时出国开展学术交流按相关规定管理。</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规范非税收入编制。各执收单位应根据政府收支分类科目和政府非税收入项目，结合近几年非税收入实际征收完成情况，综合考虑年度收入增减因素，针对执收项目逐项进行测算，准确编制年度非税收入计划，全口径填报部门收入预算，切实提高非税收入预算的准确性。</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、继续试编三年滚动规划。在</w:t>
      </w:r>
      <w:r>
        <w:rPr>
          <w:rFonts w:ascii="仿宋_GB2312" w:eastAsia="仿宋_GB2312"/>
          <w:sz w:val="32"/>
          <w:szCs w:val="32"/>
        </w:rPr>
        <w:t>2016</w:t>
      </w:r>
      <w:r>
        <w:rPr>
          <w:rFonts w:hint="eastAsia" w:ascii="仿宋_GB2312" w:eastAsia="仿宋_GB2312"/>
          <w:sz w:val="32"/>
          <w:szCs w:val="32"/>
        </w:rPr>
        <w:t>年试点编制市级及部门三年财政规划的基础上，启动编制</w:t>
      </w:r>
      <w:r>
        <w:rPr>
          <w:rFonts w:ascii="仿宋_GB2312" w:eastAsia="仿宋_GB2312"/>
          <w:sz w:val="32"/>
          <w:szCs w:val="32"/>
        </w:rPr>
        <w:t>2017</w:t>
      </w:r>
      <w:r>
        <w:rPr>
          <w:rFonts w:hint="eastAsia" w:ascii="仿宋_GB2312" w:eastAsia="仿宋_GB2312"/>
          <w:sz w:val="32"/>
          <w:szCs w:val="32"/>
        </w:rPr>
        <w:t>年</w:t>
      </w:r>
      <w:r>
        <w:rPr>
          <w:rFonts w:ascii="仿宋_GB2312" w:eastAsia="仿宋_GB2312"/>
          <w:sz w:val="32"/>
          <w:szCs w:val="32"/>
        </w:rPr>
        <w:t>-2019</w:t>
      </w:r>
      <w:r>
        <w:rPr>
          <w:rFonts w:hint="eastAsia" w:ascii="仿宋_GB2312" w:eastAsia="仿宋_GB2312"/>
          <w:sz w:val="32"/>
          <w:szCs w:val="32"/>
        </w:rPr>
        <w:t>年市级中期财政规划；继续完善市水利局、市教育局、市人力社保局、市农业局、市卫生计生委、市环保局等市级部门试点编制三年支出滚动规划工作。逐步完善滚动规划与年度预算相衔接，年度预算按照滚动规划进行控制。</w:t>
      </w:r>
    </w:p>
    <w:p>
      <w:pPr>
        <w:adjustRightInd w:val="0"/>
        <w:snapToGrid w:val="0"/>
        <w:spacing w:line="560" w:lineRule="exact"/>
        <w:ind w:firstLine="31680" w:firstLineChars="200"/>
        <w:rPr>
          <w:rFonts w:ascii="楷体_GB2312" w:eastAsia="楷体_GB2312"/>
          <w:b/>
          <w:sz w:val="32"/>
          <w:szCs w:val="32"/>
        </w:rPr>
      </w:pPr>
      <w:r>
        <w:rPr>
          <w:rFonts w:hint="eastAsia" w:ascii="楷体_GB2312" w:eastAsia="楷体_GB2312"/>
          <w:b/>
          <w:sz w:val="32"/>
          <w:szCs w:val="32"/>
        </w:rPr>
        <w:t>（三）立足规范化，完善预算综合管理功能</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、规范项目预算绩效目标编制。牢固树立绩效管理理念，促进绩效管理与预算编制、执行、监督有机融合，健全预算绩效管理机制。</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编制范围。财政性资金安排金额在</w:t>
      </w:r>
      <w:r>
        <w:rPr>
          <w:rFonts w:ascii="仿宋_GB2312" w:eastAsia="仿宋_GB2312"/>
          <w:sz w:val="32"/>
          <w:szCs w:val="32"/>
        </w:rPr>
        <w:t>10</w:t>
      </w:r>
      <w:r>
        <w:rPr>
          <w:rFonts w:hint="eastAsia" w:ascii="仿宋_GB2312" w:eastAsia="仿宋_GB2312"/>
          <w:sz w:val="32"/>
          <w:szCs w:val="32"/>
        </w:rPr>
        <w:t>万元及以上的各项会议费、培训费和其他类型</w:t>
      </w:r>
      <w:r>
        <w:rPr>
          <w:rFonts w:ascii="仿宋_GB2312" w:eastAsia="仿宋_GB2312"/>
          <w:sz w:val="32"/>
          <w:szCs w:val="32"/>
        </w:rPr>
        <w:t>50</w:t>
      </w:r>
      <w:r>
        <w:rPr>
          <w:rFonts w:hint="eastAsia" w:ascii="仿宋_GB2312" w:eastAsia="仿宋_GB2312"/>
          <w:sz w:val="32"/>
          <w:szCs w:val="32"/>
        </w:rPr>
        <w:t>万元及以上的支出项目，但不包括：已有支出标准或限额以下的项目（包括：专项因公出国（境）经费、专项公务接待费、专项公务用车运行维护费、物业管理费、</w:t>
      </w:r>
      <w:r>
        <w:rPr>
          <w:rFonts w:ascii="仿宋_GB2312" w:eastAsia="仿宋_GB2312"/>
          <w:sz w:val="32"/>
          <w:szCs w:val="32"/>
        </w:rPr>
        <w:t>10</w:t>
      </w:r>
      <w:r>
        <w:rPr>
          <w:rFonts w:hint="eastAsia" w:ascii="仿宋_GB2312" w:eastAsia="仿宋_GB2312"/>
          <w:sz w:val="32"/>
          <w:szCs w:val="32"/>
        </w:rPr>
        <w:t>万元以下的会议费和培训费等项目），涉密项目，债务还本付息支出项目，基本建设项目。</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color w:val="FF0000"/>
          <w:sz w:val="32"/>
          <w:szCs w:val="32"/>
        </w:rPr>
        <w:t>强化绩效目标审核</w:t>
      </w:r>
      <w:r>
        <w:rPr>
          <w:rFonts w:hint="eastAsia" w:ascii="仿宋_GB2312" w:eastAsia="仿宋_GB2312"/>
          <w:sz w:val="32"/>
          <w:szCs w:val="32"/>
        </w:rPr>
        <w:t>。对列入编制范围的项目，各部门（单位）在部门预算草案“一上”时，应同时填报《市级部门预算项目绩效目标评审表》，</w:t>
      </w:r>
      <w:r>
        <w:rPr>
          <w:rFonts w:hint="eastAsia" w:ascii="仿宋_GB2312" w:eastAsia="仿宋_GB2312"/>
          <w:color w:val="FF0000"/>
          <w:sz w:val="32"/>
          <w:szCs w:val="32"/>
        </w:rPr>
        <w:t>无正当理由不按规定编制绩效目标的，将不予安排项目预算</w:t>
      </w:r>
      <w:r>
        <w:rPr>
          <w:rFonts w:hint="eastAsia" w:ascii="仿宋_GB2312" w:eastAsia="仿宋_GB2312"/>
          <w:sz w:val="32"/>
          <w:szCs w:val="32"/>
        </w:rPr>
        <w:t>。财政部门将分类组织绩效评审，并根据评审情况安排预算。</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color w:val="FF0000"/>
          <w:sz w:val="32"/>
          <w:szCs w:val="32"/>
        </w:rPr>
        <w:t>强化绩效评价结果应用</w:t>
      </w:r>
      <w:r>
        <w:rPr>
          <w:rFonts w:hint="eastAsia" w:ascii="仿宋_GB2312" w:eastAsia="仿宋_GB2312"/>
          <w:sz w:val="32"/>
          <w:szCs w:val="32"/>
        </w:rPr>
        <w:t>。将相同或相近项目前两年的绩效评价结果，作为</w:t>
      </w:r>
      <w:r>
        <w:rPr>
          <w:rFonts w:ascii="仿宋_GB2312" w:eastAsia="仿宋_GB2312"/>
          <w:sz w:val="32"/>
          <w:szCs w:val="32"/>
        </w:rPr>
        <w:t>2017</w:t>
      </w:r>
      <w:r>
        <w:rPr>
          <w:rFonts w:hint="eastAsia" w:ascii="仿宋_GB2312" w:eastAsia="仿宋_GB2312"/>
          <w:sz w:val="32"/>
          <w:szCs w:val="32"/>
        </w:rPr>
        <w:t>年项目绩效目标编制、审核（评审）的重要依据。对绩效评价结果为优良的项目，在安排预算时给予优先考虑；对未实现绩效目标或评价结果较差的项目，相应调减项目预算或取消该项目。</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w:t>
      </w:r>
      <w:r>
        <w:rPr>
          <w:rFonts w:hint="eastAsia" w:ascii="仿宋_GB2312" w:eastAsia="仿宋_GB2312"/>
          <w:color w:val="FF0000"/>
          <w:sz w:val="32"/>
          <w:szCs w:val="32"/>
        </w:rPr>
        <w:t>规范资产配置预算管理</w:t>
      </w:r>
      <w:r>
        <w:rPr>
          <w:rFonts w:hint="eastAsia" w:ascii="仿宋_GB2312" w:eastAsia="仿宋_GB2312"/>
          <w:sz w:val="32"/>
          <w:szCs w:val="32"/>
        </w:rPr>
        <w:t>。严格按照《绍兴市本级行政事业单位国有资产管理暂行办法》和《绍兴市本级行政事业单位办公用房装修通用办公设备配备标准（试行）》规定，规范市级行政事业单位资产配置预算编审，完善资产配置标准体系，严格实行资产配置单位限额管理。</w:t>
      </w:r>
      <w:r>
        <w:rPr>
          <w:rFonts w:ascii="仿宋_GB2312" w:eastAsia="仿宋_GB2312"/>
          <w:sz w:val="32"/>
          <w:szCs w:val="32"/>
        </w:rPr>
        <w:t>2017</w:t>
      </w:r>
      <w:r>
        <w:rPr>
          <w:rFonts w:hint="eastAsia" w:ascii="仿宋_GB2312" w:eastAsia="仿宋_GB2312"/>
          <w:sz w:val="32"/>
          <w:szCs w:val="32"/>
        </w:rPr>
        <w:t>年预算编制对台式计算机、便携式计算机、打印机、复印机、一体机、传真机、扫描仪、碎纸机、投影仪、摄像机、照相机等十一类通用办公设备配备实行数量和金额的双重限额标准。行政事业单位国有资产动态管理信息系统中资产实有数量、配置编制及配置限额信息作为资产配置预算依据。</w:t>
      </w:r>
      <w:r>
        <w:rPr>
          <w:rFonts w:ascii="仿宋_GB2312" w:eastAsia="仿宋_GB2312"/>
          <w:sz w:val="32"/>
          <w:szCs w:val="32"/>
        </w:rPr>
        <w:t xml:space="preserve">    3</w:t>
      </w:r>
      <w:r>
        <w:rPr>
          <w:rFonts w:hint="eastAsia" w:ascii="仿宋_GB2312" w:eastAsia="仿宋_GB2312"/>
          <w:sz w:val="32"/>
          <w:szCs w:val="32"/>
        </w:rPr>
        <w:t>、</w:t>
      </w:r>
      <w:r>
        <w:rPr>
          <w:rFonts w:hint="eastAsia" w:ascii="仿宋_GB2312" w:eastAsia="仿宋_GB2312"/>
          <w:color w:val="FF0000"/>
          <w:sz w:val="32"/>
          <w:szCs w:val="32"/>
        </w:rPr>
        <w:t>规范政府采购预算管理。</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使用纳入预算管理的资金，采购纳入集中采购目录或者虽未纳入集中采购目录，但单项或者年度批量预算金额在政府采购限额标准之上的货物、工程和服务，应当依法编制政府采购预算，实行政府采购。</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政府采购应当严格按照批准的预算执行，各部门（单位）不得组织实施无政府采购预算的采购活动。依照《政府采购法》及其实施条例规定应实施政府采购而未实施的，按照有关规定责令改正、依法处分。</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根据《绍兴市市本级政府采购预算管理暂行办法》规定，政府采购预算原则上应在当年执行完毕，当年政府采购指标未办理政府采购预算执行确认书的，由财政收回平衡预算。政府采购预算已办理确认书超过两年但未实施采购的，或政府采购确认书已办理且合同备案后两年没有支付的资金，将视同结余资金，由财政收回平衡预算。</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规范政府购买服务预算编制。政府购买服务项目所需资金列入财政预算，原则上从部门预算经费或经批准使用的专项资金既有预算中统筹安排。购买主体在编制年度部门预算时，参照《绍兴市政府向社会力量购买服务指导目录》，同步编制政府购买服务项目预算，明确服务事项、对象、方式、标准等，并在预算编制系统内全面完整地反映政府购买服务项目情况。</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、规范事业单位收支两条线管理。进一步规范事业单位收支预算管理，按照综合预算的要求，事业单位所有收支编制年度预算。</w:t>
      </w:r>
      <w:r>
        <w:rPr>
          <w:rFonts w:ascii="仿宋_GB2312" w:eastAsia="仿宋_GB2312"/>
          <w:sz w:val="32"/>
          <w:szCs w:val="32"/>
        </w:rPr>
        <w:t>2017</w:t>
      </w:r>
      <w:r>
        <w:rPr>
          <w:rFonts w:hint="eastAsia" w:ascii="仿宋_GB2312" w:eastAsia="仿宋_GB2312"/>
          <w:sz w:val="32"/>
          <w:szCs w:val="32"/>
        </w:rPr>
        <w:t>年对事业单位非财政性资金收支情况在全面梳理基础上，按照积极稳妥、规范高效的原则，分类分批将非财政性资金收支纳入财政管理。</w:t>
      </w:r>
    </w:p>
    <w:p>
      <w:pPr>
        <w:adjustRightInd w:val="0"/>
        <w:snapToGrid w:val="0"/>
        <w:spacing w:line="560" w:lineRule="exact"/>
        <w:ind w:firstLine="31680" w:firstLineChars="200"/>
        <w:rPr>
          <w:rFonts w:ascii="仿宋_GB2312" w:eastAsia="仿宋_GB2312"/>
          <w:color w:val="FF0000"/>
          <w:sz w:val="32"/>
          <w:szCs w:val="32"/>
        </w:rPr>
      </w:pPr>
      <w:r>
        <w:rPr>
          <w:rFonts w:ascii="仿宋_GB2312" w:eastAsia="仿宋_GB2312"/>
          <w:sz w:val="32"/>
          <w:szCs w:val="32"/>
        </w:rPr>
        <w:t>6</w:t>
      </w:r>
      <w:r>
        <w:rPr>
          <w:rFonts w:hint="eastAsia" w:ascii="仿宋_GB2312" w:eastAsia="仿宋_GB2312"/>
          <w:sz w:val="32"/>
          <w:szCs w:val="32"/>
        </w:rPr>
        <w:t>、</w:t>
      </w:r>
      <w:r>
        <w:rPr>
          <w:rFonts w:hint="eastAsia" w:ascii="仿宋_GB2312" w:eastAsia="仿宋_GB2312"/>
          <w:color w:val="FF0000"/>
          <w:sz w:val="32"/>
          <w:szCs w:val="32"/>
        </w:rPr>
        <w:t>规范盘活存量资金预算管理</w:t>
      </w:r>
      <w:r>
        <w:rPr>
          <w:rFonts w:hint="eastAsia" w:ascii="仿宋_GB2312" w:eastAsia="仿宋_GB2312"/>
          <w:sz w:val="32"/>
          <w:szCs w:val="32"/>
        </w:rPr>
        <w:t>。一是各部门要继续清理盘活财政存量资金，在年度安排预算时，要结合各自职能和业务工作实际，提早谋划，逐项审核，科学编制年度预算，防止形成新的存量资金。二是</w:t>
      </w:r>
      <w:r>
        <w:rPr>
          <w:rFonts w:ascii="仿宋_GB2312" w:eastAsia="仿宋_GB2312"/>
          <w:sz w:val="32"/>
          <w:szCs w:val="32"/>
        </w:rPr>
        <w:t>2014</w:t>
      </w:r>
      <w:r>
        <w:rPr>
          <w:rFonts w:hint="eastAsia" w:ascii="仿宋_GB2312" w:eastAsia="仿宋_GB2312"/>
          <w:sz w:val="32"/>
          <w:szCs w:val="32"/>
        </w:rPr>
        <w:t>年底前形成的部门预算结余结转资金，由同级财政收回统筹使用。对上年末经常性项目支出结余一律不结转，</w:t>
      </w:r>
      <w:r>
        <w:rPr>
          <w:rFonts w:ascii="仿宋_GB2312" w:eastAsia="仿宋_GB2312"/>
          <w:sz w:val="32"/>
          <w:szCs w:val="32"/>
        </w:rPr>
        <w:t>2017</w:t>
      </w:r>
      <w:r>
        <w:rPr>
          <w:rFonts w:hint="eastAsia" w:ascii="仿宋_GB2312" w:eastAsia="仿宋_GB2312"/>
          <w:sz w:val="32"/>
          <w:szCs w:val="32"/>
        </w:rPr>
        <w:t>年项目支出预算控制数按部门（单位）</w:t>
      </w:r>
      <w:r>
        <w:rPr>
          <w:rFonts w:ascii="仿宋_GB2312" w:eastAsia="仿宋_GB2312"/>
          <w:sz w:val="32"/>
          <w:szCs w:val="32"/>
        </w:rPr>
        <w:t>2016</w:t>
      </w:r>
      <w:r>
        <w:rPr>
          <w:rFonts w:hint="eastAsia" w:ascii="仿宋_GB2312" w:eastAsia="仿宋_GB2312"/>
          <w:sz w:val="32"/>
          <w:szCs w:val="32"/>
        </w:rPr>
        <w:t>年项目支出年初预算（剔除一次性因素）及项目支出预算执行率确定，对部门（单位）</w:t>
      </w:r>
      <w:r>
        <w:rPr>
          <w:rFonts w:ascii="仿宋_GB2312" w:eastAsia="仿宋_GB2312"/>
          <w:sz w:val="32"/>
          <w:szCs w:val="32"/>
        </w:rPr>
        <w:t>2015</w:t>
      </w:r>
      <w:r>
        <w:rPr>
          <w:rFonts w:hint="eastAsia" w:ascii="仿宋_GB2312" w:eastAsia="仿宋_GB2312"/>
          <w:sz w:val="32"/>
          <w:szCs w:val="32"/>
        </w:rPr>
        <w:t>年经常性项目支出预算</w:t>
      </w:r>
      <w:r>
        <w:rPr>
          <w:rFonts w:hint="eastAsia" w:ascii="仿宋_GB2312" w:eastAsia="仿宋_GB2312"/>
          <w:color w:val="FF0000"/>
          <w:sz w:val="32"/>
          <w:szCs w:val="32"/>
        </w:rPr>
        <w:t>执行率</w:t>
      </w:r>
      <w:r>
        <w:rPr>
          <w:rFonts w:ascii="仿宋_GB2312" w:eastAsia="仿宋_GB2312"/>
          <w:color w:val="FF0000"/>
          <w:sz w:val="32"/>
          <w:szCs w:val="32"/>
        </w:rPr>
        <w:t>80%—91%</w:t>
      </w:r>
      <w:r>
        <w:rPr>
          <w:rFonts w:hint="eastAsia" w:ascii="仿宋_GB2312" w:eastAsia="仿宋_GB2312"/>
          <w:color w:val="FF0000"/>
          <w:sz w:val="32"/>
          <w:szCs w:val="32"/>
        </w:rPr>
        <w:t>（含）的</w:t>
      </w:r>
      <w:r>
        <w:rPr>
          <w:rFonts w:hint="eastAsia" w:ascii="仿宋_GB2312" w:eastAsia="仿宋_GB2312"/>
          <w:sz w:val="32"/>
          <w:szCs w:val="32"/>
        </w:rPr>
        <w:t>，</w:t>
      </w:r>
      <w:r>
        <w:rPr>
          <w:rFonts w:ascii="仿宋_GB2312" w:eastAsia="仿宋_GB2312"/>
          <w:sz w:val="32"/>
          <w:szCs w:val="32"/>
        </w:rPr>
        <w:t>2017</w:t>
      </w:r>
      <w:r>
        <w:rPr>
          <w:rFonts w:hint="eastAsia" w:ascii="仿宋_GB2312" w:eastAsia="仿宋_GB2312"/>
          <w:sz w:val="32"/>
          <w:szCs w:val="32"/>
        </w:rPr>
        <w:t>年项目预算控制数</w:t>
      </w:r>
      <w:r>
        <w:rPr>
          <w:rFonts w:hint="eastAsia" w:ascii="仿宋_GB2312" w:eastAsia="仿宋_GB2312"/>
          <w:color w:val="FF0000"/>
          <w:sz w:val="32"/>
          <w:szCs w:val="32"/>
        </w:rPr>
        <w:t>比上年压缩</w:t>
      </w:r>
      <w:r>
        <w:rPr>
          <w:rFonts w:ascii="仿宋_GB2312" w:eastAsia="仿宋_GB2312"/>
          <w:color w:val="FF0000"/>
          <w:sz w:val="32"/>
          <w:szCs w:val="32"/>
        </w:rPr>
        <w:t>5%</w:t>
      </w:r>
      <w:r>
        <w:rPr>
          <w:rFonts w:hint="eastAsia" w:ascii="仿宋_GB2312" w:eastAsia="仿宋_GB2312"/>
          <w:sz w:val="32"/>
          <w:szCs w:val="32"/>
        </w:rPr>
        <w:t>；经常性项目支出预算</w:t>
      </w:r>
      <w:r>
        <w:rPr>
          <w:rFonts w:hint="eastAsia" w:ascii="仿宋_GB2312" w:eastAsia="仿宋_GB2312"/>
          <w:color w:val="FF0000"/>
          <w:sz w:val="32"/>
          <w:szCs w:val="32"/>
        </w:rPr>
        <w:t>执行率</w:t>
      </w:r>
      <w:r>
        <w:rPr>
          <w:rFonts w:ascii="仿宋_GB2312" w:eastAsia="仿宋_GB2312"/>
          <w:color w:val="FF0000"/>
          <w:sz w:val="32"/>
          <w:szCs w:val="32"/>
        </w:rPr>
        <w:t>70%—80%</w:t>
      </w:r>
      <w:r>
        <w:rPr>
          <w:rFonts w:hint="eastAsia" w:ascii="仿宋_GB2312" w:eastAsia="仿宋_GB2312"/>
          <w:color w:val="FF0000"/>
          <w:sz w:val="32"/>
          <w:szCs w:val="32"/>
        </w:rPr>
        <w:t>（含）的，压缩</w:t>
      </w:r>
      <w:r>
        <w:rPr>
          <w:rFonts w:ascii="仿宋_GB2312" w:eastAsia="仿宋_GB2312"/>
          <w:color w:val="FF0000"/>
          <w:sz w:val="32"/>
          <w:szCs w:val="32"/>
        </w:rPr>
        <w:t>10%</w:t>
      </w:r>
      <w:r>
        <w:rPr>
          <w:rFonts w:hint="eastAsia" w:ascii="仿宋_GB2312" w:eastAsia="仿宋_GB2312"/>
          <w:sz w:val="32"/>
          <w:szCs w:val="32"/>
        </w:rPr>
        <w:t>；经常性项目支出预算</w:t>
      </w:r>
      <w:r>
        <w:rPr>
          <w:rFonts w:hint="eastAsia" w:ascii="仿宋_GB2312" w:eastAsia="仿宋_GB2312"/>
          <w:color w:val="FF0000"/>
          <w:sz w:val="32"/>
          <w:szCs w:val="32"/>
        </w:rPr>
        <w:t>执行率低于</w:t>
      </w:r>
      <w:r>
        <w:rPr>
          <w:rFonts w:ascii="仿宋_GB2312" w:eastAsia="仿宋_GB2312"/>
          <w:color w:val="FF0000"/>
          <w:sz w:val="32"/>
          <w:szCs w:val="32"/>
        </w:rPr>
        <w:t>70%</w:t>
      </w:r>
      <w:r>
        <w:rPr>
          <w:rFonts w:hint="eastAsia" w:ascii="仿宋_GB2312" w:eastAsia="仿宋_GB2312"/>
          <w:color w:val="FF0000"/>
          <w:sz w:val="32"/>
          <w:szCs w:val="32"/>
        </w:rPr>
        <w:t>（含）的，压缩</w:t>
      </w:r>
      <w:r>
        <w:rPr>
          <w:rFonts w:ascii="仿宋_GB2312" w:eastAsia="仿宋_GB2312"/>
          <w:color w:val="FF0000"/>
          <w:sz w:val="32"/>
          <w:szCs w:val="32"/>
        </w:rPr>
        <w:t>15%</w:t>
      </w:r>
      <w:r>
        <w:rPr>
          <w:rFonts w:hint="eastAsia" w:ascii="仿宋_GB2312" w:eastAsia="仿宋_GB2312"/>
          <w:color w:val="FF0000"/>
          <w:sz w:val="32"/>
          <w:szCs w:val="32"/>
        </w:rPr>
        <w:t>。</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w:t>
      </w:r>
      <w:r>
        <w:rPr>
          <w:rFonts w:hint="eastAsia" w:ascii="仿宋_GB2312" w:eastAsia="仿宋_GB2312"/>
          <w:color w:val="FF0000"/>
          <w:sz w:val="32"/>
          <w:szCs w:val="32"/>
        </w:rPr>
        <w:t>规范部门预算公开管理</w:t>
      </w:r>
      <w:r>
        <w:rPr>
          <w:rFonts w:hint="eastAsia" w:ascii="仿宋_GB2312" w:eastAsia="仿宋_GB2312"/>
          <w:sz w:val="32"/>
          <w:szCs w:val="32"/>
        </w:rPr>
        <w:t>。按照《预算法》规定，预算信息公开要完整和细化，</w:t>
      </w:r>
      <w:r>
        <w:rPr>
          <w:rFonts w:ascii="仿宋_GB2312" w:eastAsia="仿宋_GB2312"/>
          <w:sz w:val="32"/>
          <w:szCs w:val="32"/>
        </w:rPr>
        <w:t>2017</w:t>
      </w:r>
      <w:r>
        <w:rPr>
          <w:rFonts w:hint="eastAsia" w:ascii="仿宋_GB2312" w:eastAsia="仿宋_GB2312"/>
          <w:sz w:val="32"/>
          <w:szCs w:val="32"/>
        </w:rPr>
        <w:t>年除涉密信息外，所有使用财政拨款的单位均要公开部门预算及“三公”经费预算，并且按支出功能分类细化到项级科目，按经济分类细化到款级科目。各部门要对部门预算和“三公”经费要准确、完整、详细填报，并按照《预算法》规定时限和程序及时在市政府政务网预决算公开专栏集中向社会公开。</w:t>
      </w:r>
    </w:p>
    <w:p>
      <w:pPr>
        <w:adjustRightInd w:val="0"/>
        <w:snapToGrid w:val="0"/>
        <w:spacing w:line="560" w:lineRule="exact"/>
        <w:ind w:firstLine="31680" w:firstLineChars="200"/>
        <w:rPr>
          <w:rFonts w:ascii="黑体" w:eastAsia="黑体"/>
          <w:sz w:val="32"/>
          <w:szCs w:val="32"/>
        </w:rPr>
      </w:pPr>
      <w:r>
        <w:rPr>
          <w:rFonts w:hint="eastAsia" w:ascii="黑体" w:eastAsia="黑体"/>
          <w:sz w:val="32"/>
          <w:szCs w:val="32"/>
        </w:rPr>
        <w:t>四、编报程序和时间安排</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2017</w:t>
      </w:r>
      <w:r>
        <w:rPr>
          <w:rFonts w:hint="eastAsia" w:ascii="仿宋_GB2312" w:eastAsia="仿宋_GB2312"/>
          <w:sz w:val="32"/>
          <w:szCs w:val="32"/>
        </w:rPr>
        <w:t>年市级部门预算编制的“</w:t>
      </w:r>
      <w:r>
        <w:rPr>
          <w:rFonts w:hint="eastAsia" w:ascii="仿宋_GB2312" w:eastAsia="仿宋_GB2312"/>
          <w:color w:val="FF0000"/>
          <w:sz w:val="32"/>
          <w:szCs w:val="32"/>
        </w:rPr>
        <w:t>二上二下</w:t>
      </w:r>
      <w:r>
        <w:rPr>
          <w:rFonts w:hint="eastAsia" w:ascii="仿宋_GB2312" w:eastAsia="仿宋_GB2312"/>
          <w:sz w:val="32"/>
          <w:szCs w:val="32"/>
        </w:rPr>
        <w:t>”程序具体安排如下：</w:t>
      </w:r>
    </w:p>
    <w:p>
      <w:pPr>
        <w:adjustRightInd w:val="0"/>
        <w:snapToGrid w:val="0"/>
        <w:spacing w:line="560" w:lineRule="exact"/>
        <w:ind w:firstLine="31680" w:firstLineChars="200"/>
        <w:rPr>
          <w:rFonts w:ascii="楷体_GB2312" w:eastAsia="楷体_GB2312"/>
          <w:sz w:val="32"/>
          <w:szCs w:val="32"/>
        </w:rPr>
      </w:pPr>
      <w:r>
        <w:rPr>
          <w:rFonts w:hint="eastAsia" w:ascii="楷体_GB2312" w:eastAsia="楷体_GB2312"/>
          <w:color w:val="FF0000"/>
          <w:sz w:val="32"/>
          <w:szCs w:val="32"/>
        </w:rPr>
        <w:t>（一）“一上”：</w:t>
      </w:r>
      <w:r>
        <w:rPr>
          <w:rFonts w:ascii="楷体_GB2312" w:eastAsia="楷体_GB2312"/>
          <w:color w:val="FF0000"/>
          <w:sz w:val="32"/>
          <w:szCs w:val="32"/>
        </w:rPr>
        <w:t>2016</w:t>
      </w:r>
      <w:r>
        <w:rPr>
          <w:rFonts w:hint="eastAsia" w:ascii="楷体_GB2312" w:eastAsia="楷体_GB2312"/>
          <w:color w:val="FF0000"/>
          <w:sz w:val="32"/>
          <w:szCs w:val="32"/>
        </w:rPr>
        <w:t>年</w:t>
      </w:r>
      <w:r>
        <w:rPr>
          <w:rFonts w:ascii="楷体_GB2312" w:eastAsia="楷体_GB2312"/>
          <w:color w:val="FF0000"/>
          <w:sz w:val="32"/>
          <w:szCs w:val="32"/>
        </w:rPr>
        <w:t>10</w:t>
      </w:r>
      <w:r>
        <w:rPr>
          <w:rFonts w:hint="eastAsia" w:ascii="楷体_GB2312" w:eastAsia="楷体_GB2312"/>
          <w:color w:val="FF0000"/>
          <w:sz w:val="32"/>
          <w:szCs w:val="32"/>
        </w:rPr>
        <w:t>月</w:t>
      </w:r>
      <w:r>
        <w:rPr>
          <w:rFonts w:ascii="楷体_GB2312" w:eastAsia="楷体_GB2312"/>
          <w:color w:val="FF0000"/>
          <w:sz w:val="32"/>
          <w:szCs w:val="32"/>
        </w:rPr>
        <w:t>10</w:t>
      </w:r>
      <w:r>
        <w:rPr>
          <w:rFonts w:hint="eastAsia" w:ascii="楷体_GB2312" w:eastAsia="楷体_GB2312"/>
          <w:color w:val="FF0000"/>
          <w:sz w:val="32"/>
          <w:szCs w:val="32"/>
        </w:rPr>
        <w:t>日前</w:t>
      </w:r>
      <w:r>
        <w:rPr>
          <w:rFonts w:hint="eastAsia" w:ascii="楷体_GB2312" w:eastAsia="楷体_GB2312"/>
          <w:sz w:val="32"/>
          <w:szCs w:val="32"/>
        </w:rPr>
        <w:t>。</w:t>
      </w:r>
    </w:p>
    <w:p>
      <w:pPr>
        <w:adjustRightInd w:val="0"/>
        <w:snapToGrid w:val="0"/>
        <w:spacing w:line="560" w:lineRule="exact"/>
        <w:ind w:firstLine="31680" w:firstLineChars="200"/>
        <w:rPr>
          <w:rFonts w:ascii="仿宋_GB2312" w:eastAsia="仿宋_GB2312"/>
          <w:sz w:val="32"/>
          <w:szCs w:val="32"/>
        </w:rPr>
      </w:pPr>
      <w:r>
        <w:rPr>
          <w:rFonts w:hint="eastAsia" w:ascii="仿宋_GB2312" w:eastAsia="仿宋_GB2312"/>
          <w:sz w:val="32"/>
          <w:szCs w:val="32"/>
        </w:rPr>
        <w:t>各预算单位根据编制要求，按规定编制基本支出预算和项目支出预算，形成“一上”预算草案，报主管部门。各部门审核汇总后，形成“一上”预算草案及基础资料，报市财政局。</w:t>
      </w:r>
    </w:p>
    <w:p>
      <w:pPr>
        <w:adjustRightInd w:val="0"/>
        <w:snapToGrid w:val="0"/>
        <w:spacing w:line="560" w:lineRule="exact"/>
        <w:ind w:firstLine="31680" w:firstLineChars="200"/>
        <w:rPr>
          <w:rFonts w:ascii="楷体_GB2312" w:eastAsia="楷体_GB2312"/>
          <w:sz w:val="32"/>
          <w:szCs w:val="32"/>
        </w:rPr>
      </w:pPr>
      <w:r>
        <w:rPr>
          <w:rFonts w:hint="eastAsia" w:ascii="楷体_GB2312" w:eastAsia="楷体_GB2312"/>
          <w:color w:val="FF0000"/>
          <w:sz w:val="32"/>
          <w:szCs w:val="32"/>
        </w:rPr>
        <w:t>（二）“一下”：</w:t>
      </w:r>
      <w:r>
        <w:rPr>
          <w:rFonts w:ascii="楷体_GB2312" w:eastAsia="楷体_GB2312"/>
          <w:color w:val="FF0000"/>
          <w:sz w:val="32"/>
          <w:szCs w:val="32"/>
        </w:rPr>
        <w:t>2016</w:t>
      </w:r>
      <w:r>
        <w:rPr>
          <w:rFonts w:hint="eastAsia" w:ascii="楷体_GB2312" w:eastAsia="楷体_GB2312"/>
          <w:color w:val="FF0000"/>
          <w:sz w:val="32"/>
          <w:szCs w:val="32"/>
        </w:rPr>
        <w:t>年</w:t>
      </w:r>
      <w:r>
        <w:rPr>
          <w:rFonts w:ascii="楷体_GB2312" w:eastAsia="楷体_GB2312"/>
          <w:color w:val="FF0000"/>
          <w:sz w:val="32"/>
          <w:szCs w:val="32"/>
        </w:rPr>
        <w:t>11</w:t>
      </w:r>
      <w:r>
        <w:rPr>
          <w:rFonts w:hint="eastAsia" w:ascii="楷体_GB2312" w:eastAsia="楷体_GB2312"/>
          <w:color w:val="FF0000"/>
          <w:sz w:val="32"/>
          <w:szCs w:val="32"/>
        </w:rPr>
        <w:t>月</w:t>
      </w:r>
      <w:r>
        <w:rPr>
          <w:rFonts w:ascii="楷体_GB2312" w:eastAsia="楷体_GB2312"/>
          <w:color w:val="FF0000"/>
          <w:sz w:val="32"/>
          <w:szCs w:val="32"/>
        </w:rPr>
        <w:t>5</w:t>
      </w:r>
      <w:r>
        <w:rPr>
          <w:rFonts w:hint="eastAsia" w:ascii="楷体_GB2312" w:eastAsia="楷体_GB2312"/>
          <w:color w:val="FF0000"/>
          <w:sz w:val="32"/>
          <w:szCs w:val="32"/>
        </w:rPr>
        <w:t>日前</w:t>
      </w:r>
      <w:r>
        <w:rPr>
          <w:rFonts w:hint="eastAsia" w:ascii="楷体_GB2312" w:eastAsia="楷体_GB2312"/>
          <w:sz w:val="32"/>
          <w:szCs w:val="32"/>
        </w:rPr>
        <w:t>。</w:t>
      </w:r>
    </w:p>
    <w:p>
      <w:pPr>
        <w:adjustRightInd w:val="0"/>
        <w:snapToGrid w:val="0"/>
        <w:spacing w:line="560" w:lineRule="exact"/>
        <w:ind w:firstLine="31680" w:firstLineChars="200"/>
        <w:rPr>
          <w:rFonts w:ascii="仿宋_GB2312" w:eastAsia="仿宋_GB2312"/>
          <w:sz w:val="32"/>
          <w:szCs w:val="32"/>
        </w:rPr>
      </w:pPr>
      <w:r>
        <w:rPr>
          <w:rFonts w:hint="eastAsia" w:ascii="仿宋_GB2312" w:eastAsia="仿宋_GB2312"/>
          <w:sz w:val="32"/>
          <w:szCs w:val="32"/>
        </w:rPr>
        <w:t>市财政局对各部门上报的部门预算建议进行审核，并将初步审核意见，部门和单位的预算控制数等下达部门，各单位据此修改完善本单位预算。</w:t>
      </w:r>
    </w:p>
    <w:p>
      <w:pPr>
        <w:adjustRightInd w:val="0"/>
        <w:snapToGrid w:val="0"/>
        <w:spacing w:line="560" w:lineRule="exact"/>
        <w:ind w:firstLine="31680" w:firstLineChars="200"/>
        <w:rPr>
          <w:rFonts w:ascii="楷体_GB2312" w:eastAsia="楷体_GB2312"/>
          <w:sz w:val="32"/>
          <w:szCs w:val="32"/>
        </w:rPr>
      </w:pPr>
      <w:r>
        <w:rPr>
          <w:rFonts w:hint="eastAsia" w:ascii="楷体_GB2312" w:eastAsia="楷体_GB2312"/>
          <w:color w:val="FF0000"/>
          <w:sz w:val="32"/>
          <w:szCs w:val="32"/>
        </w:rPr>
        <w:t>（三）“二上”：</w:t>
      </w:r>
      <w:r>
        <w:rPr>
          <w:rFonts w:ascii="楷体_GB2312" w:eastAsia="楷体_GB2312"/>
          <w:color w:val="FF0000"/>
          <w:sz w:val="32"/>
          <w:szCs w:val="32"/>
        </w:rPr>
        <w:t>2016</w:t>
      </w:r>
      <w:r>
        <w:rPr>
          <w:rFonts w:hint="eastAsia" w:ascii="楷体_GB2312" w:eastAsia="楷体_GB2312"/>
          <w:color w:val="FF0000"/>
          <w:sz w:val="32"/>
          <w:szCs w:val="32"/>
        </w:rPr>
        <w:t>年</w:t>
      </w:r>
      <w:r>
        <w:rPr>
          <w:rFonts w:ascii="楷体_GB2312" w:eastAsia="楷体_GB2312"/>
          <w:color w:val="FF0000"/>
          <w:sz w:val="32"/>
          <w:szCs w:val="32"/>
        </w:rPr>
        <w:t>11</w:t>
      </w:r>
      <w:r>
        <w:rPr>
          <w:rFonts w:hint="eastAsia" w:ascii="楷体_GB2312" w:eastAsia="楷体_GB2312"/>
          <w:color w:val="FF0000"/>
          <w:sz w:val="32"/>
          <w:szCs w:val="32"/>
        </w:rPr>
        <w:t>月</w:t>
      </w:r>
      <w:r>
        <w:rPr>
          <w:rFonts w:ascii="楷体_GB2312" w:eastAsia="楷体_GB2312"/>
          <w:color w:val="FF0000"/>
          <w:sz w:val="32"/>
          <w:szCs w:val="32"/>
        </w:rPr>
        <w:t>30</w:t>
      </w:r>
      <w:r>
        <w:rPr>
          <w:rFonts w:hint="eastAsia" w:ascii="楷体_GB2312" w:eastAsia="楷体_GB2312"/>
          <w:color w:val="FF0000"/>
          <w:sz w:val="32"/>
          <w:szCs w:val="32"/>
        </w:rPr>
        <w:t>日前</w:t>
      </w:r>
      <w:r>
        <w:rPr>
          <w:rFonts w:hint="eastAsia" w:ascii="楷体_GB2312" w:eastAsia="楷体_GB2312"/>
          <w:sz w:val="32"/>
          <w:szCs w:val="32"/>
        </w:rPr>
        <w:t>。</w:t>
      </w:r>
    </w:p>
    <w:p>
      <w:pPr>
        <w:adjustRightInd w:val="0"/>
        <w:snapToGrid w:val="0"/>
        <w:spacing w:line="560" w:lineRule="exact"/>
        <w:ind w:firstLine="31680" w:firstLineChars="200"/>
        <w:rPr>
          <w:rFonts w:ascii="仿宋_GB2312" w:eastAsia="仿宋_GB2312"/>
          <w:sz w:val="32"/>
          <w:szCs w:val="32"/>
        </w:rPr>
      </w:pPr>
      <w:r>
        <w:rPr>
          <w:rFonts w:hint="eastAsia" w:ascii="仿宋_GB2312" w:eastAsia="仿宋_GB2312"/>
          <w:sz w:val="32"/>
          <w:szCs w:val="32"/>
        </w:rPr>
        <w:t>各预算单位根据市财政局下达的预算控制数，调整本单位预算建议，报送主管部门汇总。主管部门将调整后的预算草案（含政府采购预算）报市财政局审核。</w:t>
      </w:r>
    </w:p>
    <w:p>
      <w:pPr>
        <w:adjustRightInd w:val="0"/>
        <w:snapToGrid w:val="0"/>
        <w:spacing w:line="560" w:lineRule="exact"/>
        <w:ind w:firstLine="31680" w:firstLineChars="200"/>
        <w:rPr>
          <w:rFonts w:ascii="楷体_GB2312" w:eastAsia="楷体_GB2312"/>
          <w:sz w:val="32"/>
          <w:szCs w:val="32"/>
        </w:rPr>
      </w:pPr>
      <w:r>
        <w:rPr>
          <w:rFonts w:hint="eastAsia" w:ascii="楷体_GB2312" w:eastAsia="楷体_GB2312"/>
          <w:color w:val="FF0000"/>
          <w:sz w:val="32"/>
          <w:szCs w:val="32"/>
        </w:rPr>
        <w:t>（四）“二下”：市人代会后</w:t>
      </w:r>
      <w:r>
        <w:rPr>
          <w:rFonts w:ascii="楷体_GB2312" w:eastAsia="楷体_GB2312"/>
          <w:color w:val="FF0000"/>
          <w:sz w:val="32"/>
          <w:szCs w:val="32"/>
        </w:rPr>
        <w:t>20</w:t>
      </w:r>
      <w:r>
        <w:rPr>
          <w:rFonts w:hint="eastAsia" w:ascii="楷体_GB2312" w:eastAsia="楷体_GB2312"/>
          <w:color w:val="FF0000"/>
          <w:sz w:val="32"/>
          <w:szCs w:val="32"/>
        </w:rPr>
        <w:t>日</w:t>
      </w:r>
      <w:r>
        <w:rPr>
          <w:rFonts w:hint="eastAsia" w:ascii="楷体_GB2312" w:eastAsia="楷体_GB2312"/>
          <w:sz w:val="32"/>
          <w:szCs w:val="32"/>
        </w:rPr>
        <w:t>。</w:t>
      </w:r>
    </w:p>
    <w:p>
      <w:pPr>
        <w:adjustRightInd w:val="0"/>
        <w:snapToGrid w:val="0"/>
        <w:spacing w:line="560" w:lineRule="exact"/>
        <w:ind w:firstLine="31680" w:firstLineChars="200"/>
        <w:rPr>
          <w:rFonts w:ascii="仿宋_GB2312" w:eastAsia="仿宋_GB2312"/>
          <w:sz w:val="32"/>
          <w:szCs w:val="32"/>
        </w:rPr>
      </w:pPr>
      <w:r>
        <w:rPr>
          <w:rFonts w:hint="eastAsia" w:ascii="仿宋_GB2312" w:eastAsia="仿宋_GB2312"/>
          <w:sz w:val="32"/>
          <w:szCs w:val="32"/>
        </w:rPr>
        <w:t>年度预算草案经市人代会审议批准后</w:t>
      </w:r>
      <w:r>
        <w:rPr>
          <w:rFonts w:ascii="仿宋_GB2312" w:eastAsia="仿宋_GB2312"/>
          <w:sz w:val="32"/>
          <w:szCs w:val="32"/>
        </w:rPr>
        <w:t>20</w:t>
      </w:r>
      <w:r>
        <w:rPr>
          <w:rFonts w:hint="eastAsia" w:ascii="仿宋_GB2312" w:eastAsia="仿宋_GB2312"/>
          <w:sz w:val="32"/>
          <w:szCs w:val="32"/>
        </w:rPr>
        <w:t>日内，由市财政局批复到各部门。各部门应当自市财政局批复本部门预算之日起</w:t>
      </w:r>
      <w:r>
        <w:rPr>
          <w:rFonts w:ascii="仿宋_GB2312" w:eastAsia="仿宋_GB2312"/>
          <w:sz w:val="32"/>
          <w:szCs w:val="32"/>
        </w:rPr>
        <w:t>15</w:t>
      </w:r>
      <w:r>
        <w:rPr>
          <w:rFonts w:hint="eastAsia" w:ascii="仿宋_GB2312" w:eastAsia="仿宋_GB2312"/>
          <w:sz w:val="32"/>
          <w:szCs w:val="32"/>
        </w:rPr>
        <w:t>日内，批复所属各单位预算。</w:t>
      </w:r>
    </w:p>
    <w:p>
      <w:pPr>
        <w:adjustRightInd w:val="0"/>
        <w:snapToGrid w:val="0"/>
        <w:spacing w:line="560" w:lineRule="exact"/>
        <w:ind w:firstLine="31680" w:firstLineChars="200"/>
        <w:rPr>
          <w:rFonts w:ascii="黑体" w:eastAsia="黑体"/>
          <w:sz w:val="32"/>
          <w:szCs w:val="32"/>
        </w:rPr>
      </w:pPr>
      <w:r>
        <w:rPr>
          <w:rFonts w:hint="eastAsia" w:ascii="黑体" w:eastAsia="黑体"/>
          <w:sz w:val="32"/>
          <w:szCs w:val="32"/>
        </w:rPr>
        <w:t>五、编报要求</w:t>
      </w:r>
    </w:p>
    <w:p>
      <w:pPr>
        <w:adjustRightInd w:val="0"/>
        <w:snapToGrid w:val="0"/>
        <w:spacing w:line="560" w:lineRule="exact"/>
        <w:ind w:firstLine="31680" w:firstLineChars="200"/>
        <w:rPr>
          <w:rFonts w:ascii="仿宋_GB2312" w:eastAsia="仿宋_GB2312"/>
          <w:sz w:val="32"/>
          <w:szCs w:val="32"/>
        </w:rPr>
      </w:pPr>
      <w:r>
        <w:rPr>
          <w:rFonts w:hint="eastAsia" w:ascii="楷体_GB2312" w:eastAsia="楷体_GB2312"/>
          <w:b/>
          <w:color w:val="FF0000"/>
          <w:sz w:val="32"/>
          <w:szCs w:val="32"/>
        </w:rPr>
        <w:t>（一）加强领导，认真做好预算编制各项工作。</w:t>
      </w:r>
      <w:r>
        <w:rPr>
          <w:rFonts w:hint="eastAsia" w:ascii="仿宋_GB2312" w:eastAsia="仿宋_GB2312"/>
          <w:sz w:val="32"/>
          <w:szCs w:val="32"/>
        </w:rPr>
        <w:t>各部门、单位要加强领导，精心组织，认真学习并准确理解和把握财政支出政策要点、编制原则和要求、编制时间安排等，结合本部门、单位的职责，科学、规范地做好编制工作。各主管部门要加强对基层单位预算编制工作的指导，做好本部门预算的布置、审核、汇总工作。</w:t>
      </w:r>
    </w:p>
    <w:p>
      <w:pPr>
        <w:adjustRightInd w:val="0"/>
        <w:snapToGrid w:val="0"/>
        <w:spacing w:line="560" w:lineRule="exact"/>
        <w:ind w:firstLine="31680" w:firstLineChars="200"/>
        <w:rPr>
          <w:rFonts w:ascii="仿宋_GB2312" w:eastAsia="仿宋_GB2312"/>
          <w:sz w:val="32"/>
          <w:szCs w:val="32"/>
        </w:rPr>
      </w:pPr>
      <w:r>
        <w:rPr>
          <w:rFonts w:hint="eastAsia" w:ascii="楷体_GB2312" w:eastAsia="楷体_GB2312"/>
          <w:b/>
          <w:color w:val="FF0000"/>
          <w:sz w:val="32"/>
          <w:szCs w:val="32"/>
        </w:rPr>
        <w:t>（二）健全制度，提高预算编制工作有效性。</w:t>
      </w:r>
      <w:r>
        <w:rPr>
          <w:rFonts w:hint="eastAsia" w:ascii="仿宋_GB2312" w:eastAsia="仿宋_GB2312"/>
          <w:sz w:val="32"/>
          <w:szCs w:val="32"/>
        </w:rPr>
        <w:t>各部门、单位要建立健全本部门预算编制的相关制度和办法，加强预算编制力量，完善工作机制，</w:t>
      </w:r>
      <w:r>
        <w:rPr>
          <w:rFonts w:hint="eastAsia" w:ascii="仿宋_GB2312" w:eastAsia="仿宋_GB2312"/>
          <w:color w:val="FF0000"/>
          <w:sz w:val="32"/>
          <w:szCs w:val="32"/>
        </w:rPr>
        <w:t>确定专人负责</w:t>
      </w:r>
      <w:r>
        <w:rPr>
          <w:rFonts w:hint="eastAsia" w:ascii="仿宋_GB2312" w:eastAsia="仿宋_GB2312"/>
          <w:sz w:val="32"/>
          <w:szCs w:val="32"/>
        </w:rPr>
        <w:t>，提高预算编制水平，进一步增强预算的准确性。同时，要加强与财政部门之间沟通协调，及时解决预算编制过程中出现的新问题，合力推进预算编制工作。</w:t>
      </w:r>
    </w:p>
    <w:p>
      <w:pPr>
        <w:adjustRightInd w:val="0"/>
        <w:snapToGrid w:val="0"/>
        <w:spacing w:line="560" w:lineRule="exact"/>
        <w:ind w:firstLine="31680" w:firstLineChars="200"/>
        <w:rPr>
          <w:rFonts w:ascii="仿宋_GB2312" w:eastAsia="仿宋_GB2312"/>
          <w:sz w:val="32"/>
          <w:szCs w:val="32"/>
        </w:rPr>
      </w:pPr>
      <w:r>
        <w:rPr>
          <w:rFonts w:hint="eastAsia" w:ascii="楷体_GB2312" w:eastAsia="楷体_GB2312"/>
          <w:b/>
          <w:color w:val="FF0000"/>
          <w:sz w:val="32"/>
          <w:szCs w:val="32"/>
        </w:rPr>
        <w:t>（三）按时报送，确保预算编制数据真实完整。</w:t>
      </w:r>
      <w:r>
        <w:rPr>
          <w:rFonts w:hint="eastAsia" w:ascii="仿宋_GB2312" w:eastAsia="仿宋_GB2312"/>
          <w:sz w:val="32"/>
          <w:szCs w:val="32"/>
        </w:rPr>
        <w:t>各部门、各单位应按要求将有关纸质材料报送市财政局归口业务处，同时须附电子数据。具体材料如下：</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w:t>
      </w:r>
      <w:r>
        <w:rPr>
          <w:rFonts w:ascii="仿宋_GB2312" w:eastAsia="仿宋_GB2312"/>
          <w:sz w:val="32"/>
          <w:szCs w:val="32"/>
        </w:rPr>
        <w:t>2017</w:t>
      </w:r>
      <w:r>
        <w:rPr>
          <w:rFonts w:hint="eastAsia" w:ascii="仿宋_GB2312" w:eastAsia="仿宋_GB2312"/>
          <w:sz w:val="32"/>
          <w:szCs w:val="32"/>
        </w:rPr>
        <w:t>年市级部门预算报表》及附表。</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部门预算编制说明。一是部门基本情况，包括部门主要工作职能（以市编委批复的部门三定方案为准），机构、人员编制（以编委办审批人数为准），实际在编人员情况说明，部门财务体制及内部控制制度等。二是</w:t>
      </w:r>
      <w:r>
        <w:rPr>
          <w:rFonts w:ascii="仿宋_GB2312" w:eastAsia="仿宋_GB2312"/>
          <w:sz w:val="32"/>
          <w:szCs w:val="32"/>
        </w:rPr>
        <w:t>2017</w:t>
      </w:r>
      <w:r>
        <w:rPr>
          <w:rFonts w:hint="eastAsia" w:ascii="仿宋_GB2312" w:eastAsia="仿宋_GB2312"/>
          <w:sz w:val="32"/>
          <w:szCs w:val="32"/>
        </w:rPr>
        <w:t>年本部门、单位工作目标及重点工作。三是</w:t>
      </w:r>
      <w:r>
        <w:rPr>
          <w:rFonts w:ascii="仿宋_GB2312" w:eastAsia="仿宋_GB2312"/>
          <w:sz w:val="32"/>
          <w:szCs w:val="32"/>
        </w:rPr>
        <w:t>2017</w:t>
      </w:r>
      <w:r>
        <w:rPr>
          <w:rFonts w:hint="eastAsia" w:ascii="仿宋_GB2312" w:eastAsia="仿宋_GB2312"/>
          <w:sz w:val="32"/>
          <w:szCs w:val="32"/>
        </w:rPr>
        <w:t>年部门预算编制情况。包括预算编制原则、预算收支安</w:t>
      </w:r>
      <w:r>
        <w:rPr>
          <w:rFonts w:hint="eastAsia" w:ascii="仿宋_GB2312" w:eastAsia="仿宋_GB2312"/>
          <w:spacing w:val="-4"/>
          <w:sz w:val="32"/>
          <w:szCs w:val="32"/>
        </w:rPr>
        <w:t>排情况（与上年支出情况比较分析、重点项目支出增减情况说明等）。</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项目申报书。“一上”时电子数据申报，“二上”时打印装订成册。</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部门三年滚动财政规划。</w:t>
      </w:r>
      <w:r>
        <w:rPr>
          <w:rFonts w:ascii="仿宋_GB2312" w:eastAsia="仿宋_GB2312"/>
          <w:sz w:val="32"/>
          <w:szCs w:val="32"/>
        </w:rPr>
        <w:t>2017-2019</w:t>
      </w:r>
      <w:r>
        <w:rPr>
          <w:rFonts w:hint="eastAsia" w:ascii="仿宋_GB2312" w:eastAsia="仿宋_GB2312"/>
          <w:sz w:val="32"/>
          <w:szCs w:val="32"/>
        </w:rPr>
        <w:t>年一般公共预算、政府性基金预算规划表、专户预算规划表、其他预算规划表。试点部门须同时报送三年滚动财政规划建议表、中期财政规划报告。</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5.2016</w:t>
      </w:r>
      <w:r>
        <w:rPr>
          <w:rFonts w:hint="eastAsia" w:ascii="仿宋_GB2312" w:eastAsia="仿宋_GB2312"/>
          <w:sz w:val="32"/>
          <w:szCs w:val="32"/>
        </w:rPr>
        <w:t>年</w:t>
      </w:r>
      <w:r>
        <w:rPr>
          <w:rFonts w:ascii="仿宋_GB2312" w:eastAsia="仿宋_GB2312"/>
          <w:sz w:val="32"/>
          <w:szCs w:val="32"/>
        </w:rPr>
        <w:t>9</w:t>
      </w:r>
      <w:r>
        <w:rPr>
          <w:rFonts w:hint="eastAsia" w:ascii="仿宋_GB2312" w:eastAsia="仿宋_GB2312"/>
          <w:sz w:val="32"/>
          <w:szCs w:val="32"/>
        </w:rPr>
        <w:t>月份单位在职人员及离休人员工资发放清单，编外用工工资发放清单。</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6.2016</w:t>
      </w:r>
      <w:r>
        <w:rPr>
          <w:rFonts w:hint="eastAsia" w:ascii="仿宋_GB2312" w:eastAsia="仿宋_GB2312"/>
          <w:sz w:val="32"/>
          <w:szCs w:val="32"/>
        </w:rPr>
        <w:t>年</w:t>
      </w:r>
      <w:r>
        <w:rPr>
          <w:rFonts w:ascii="仿宋_GB2312" w:eastAsia="仿宋_GB2312"/>
          <w:sz w:val="32"/>
          <w:szCs w:val="32"/>
        </w:rPr>
        <w:t>9</w:t>
      </w:r>
      <w:r>
        <w:rPr>
          <w:rFonts w:hint="eastAsia" w:ascii="仿宋_GB2312" w:eastAsia="仿宋_GB2312"/>
          <w:sz w:val="32"/>
          <w:szCs w:val="32"/>
        </w:rPr>
        <w:t>月份单位养老保险基金、医疗保险基金缴费及遗属补助金发放清单，</w:t>
      </w:r>
      <w:r>
        <w:rPr>
          <w:rFonts w:ascii="仿宋_GB2312" w:eastAsia="仿宋_GB2312"/>
          <w:sz w:val="32"/>
          <w:szCs w:val="32"/>
        </w:rPr>
        <w:t>2016</w:t>
      </w:r>
      <w:r>
        <w:rPr>
          <w:rFonts w:hint="eastAsia" w:ascii="仿宋_GB2312" w:eastAsia="仿宋_GB2312"/>
          <w:sz w:val="32"/>
          <w:szCs w:val="32"/>
        </w:rPr>
        <w:t>年度已缴纳的失业保险基金、工伤保险基金、生育保险基金、残疾人就业保障金。</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办公用房产权证及借用、租用等有关房屋实际使用面积的有效法律凭据。</w:t>
      </w:r>
    </w:p>
    <w:p>
      <w:pPr>
        <w:adjustRightInd w:val="0"/>
        <w:snapToGrid w:val="0"/>
        <w:spacing w:line="560" w:lineRule="exact"/>
        <w:ind w:firstLine="3168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其他需要提供的说明材料。</w:t>
      </w:r>
    </w:p>
    <w:p>
      <w:pPr>
        <w:adjustRightInd w:val="0"/>
        <w:snapToGrid w:val="0"/>
        <w:spacing w:line="560" w:lineRule="exact"/>
        <w:ind w:firstLine="31680" w:firstLineChars="200"/>
        <w:rPr>
          <w:rFonts w:ascii="黑体" w:eastAsia="黑体"/>
          <w:sz w:val="32"/>
          <w:szCs w:val="32"/>
        </w:rPr>
      </w:pPr>
      <w:r>
        <w:rPr>
          <w:rFonts w:hint="eastAsia" w:ascii="黑体" w:eastAsia="黑体"/>
          <w:sz w:val="32"/>
          <w:szCs w:val="32"/>
        </w:rPr>
        <w:t>六、</w:t>
      </w:r>
      <w:r>
        <w:rPr>
          <w:rFonts w:ascii="黑体" w:eastAsia="黑体"/>
          <w:sz w:val="32"/>
          <w:szCs w:val="32"/>
        </w:rPr>
        <w:t>2017</w:t>
      </w:r>
      <w:r>
        <w:rPr>
          <w:rFonts w:hint="eastAsia" w:ascii="黑体" w:eastAsia="黑体"/>
          <w:sz w:val="32"/>
          <w:szCs w:val="32"/>
        </w:rPr>
        <w:t>年市级国有资本经营预算、社会保险基金预算编制另行布置。</w:t>
      </w: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rPr>
          <w:rFonts w:ascii="仿宋_GB2312" w:eastAsia="仿宋_GB2312"/>
          <w:sz w:val="32"/>
          <w:szCs w:val="32"/>
        </w:rPr>
      </w:pPr>
      <w:r>
        <w:rPr>
          <w:rFonts w:ascii="仿宋_GB2312" w:eastAsia="仿宋_GB2312"/>
          <w:sz w:val="32"/>
          <w:szCs w:val="32"/>
        </w:rPr>
        <w:t xml:space="preserve">                                     </w:t>
      </w:r>
      <w:r>
        <w:rPr>
          <w:rFonts w:hint="eastAsia" w:ascii="仿宋_GB2312" w:eastAsia="仿宋_GB2312"/>
          <w:sz w:val="32"/>
          <w:szCs w:val="32"/>
        </w:rPr>
        <w:t>绍兴市财政局</w:t>
      </w:r>
    </w:p>
    <w:p>
      <w:pPr>
        <w:adjustRightInd w:val="0"/>
        <w:snapToGrid w:val="0"/>
        <w:spacing w:line="560" w:lineRule="exact"/>
        <w:rPr>
          <w:rFonts w:ascii="仿宋_GB2312" w:eastAsia="仿宋_GB2312"/>
          <w:sz w:val="32"/>
          <w:szCs w:val="32"/>
        </w:rPr>
      </w:pPr>
      <w:r>
        <w:rPr>
          <w:rFonts w:ascii="仿宋_GB2312" w:eastAsia="仿宋_GB2312"/>
          <w:sz w:val="32"/>
          <w:szCs w:val="32"/>
        </w:rPr>
        <w:t xml:space="preserve">                                    2016</w:t>
      </w:r>
      <w:r>
        <w:rPr>
          <w:rFonts w:hint="eastAsia" w:ascii="仿宋_GB2312" w:eastAsia="仿宋_GB2312"/>
          <w:sz w:val="32"/>
          <w:szCs w:val="32"/>
        </w:rPr>
        <w:t>年</w:t>
      </w:r>
      <w:r>
        <w:rPr>
          <w:rFonts w:ascii="仿宋_GB2312" w:eastAsia="仿宋_GB2312"/>
          <w:sz w:val="32"/>
          <w:szCs w:val="32"/>
        </w:rPr>
        <w:t>9</w:t>
      </w:r>
      <w:r>
        <w:rPr>
          <w:rFonts w:hint="eastAsia" w:ascii="仿宋_GB2312" w:eastAsia="仿宋_GB2312"/>
          <w:sz w:val="32"/>
          <w:szCs w:val="32"/>
        </w:rPr>
        <w:t>月</w:t>
      </w:r>
      <w:r>
        <w:rPr>
          <w:rFonts w:ascii="仿宋_GB2312" w:eastAsia="仿宋_GB2312"/>
          <w:sz w:val="32"/>
          <w:szCs w:val="32"/>
        </w:rPr>
        <w:t>8</w:t>
      </w:r>
      <w:r>
        <w:rPr>
          <w:rFonts w:hint="eastAsia" w:ascii="仿宋_GB2312" w:eastAsia="仿宋_GB2312"/>
          <w:sz w:val="32"/>
          <w:szCs w:val="32"/>
        </w:rPr>
        <w:t>日</w:t>
      </w:r>
    </w:p>
    <w:p>
      <w:pPr>
        <w:adjustRightInd w:val="0"/>
        <w:snapToGrid w:val="0"/>
        <w:spacing w:line="560" w:lineRule="exact"/>
        <w:ind w:firstLine="31680" w:firstLineChars="200"/>
        <w:rPr>
          <w:rFonts w:ascii="黑体" w:eastAsia="黑体"/>
          <w:sz w:val="32"/>
          <w:szCs w:val="32"/>
        </w:rPr>
      </w:pPr>
      <w:r>
        <w:rPr>
          <w:rFonts w:hint="eastAsia" w:ascii="黑体" w:eastAsia="黑体"/>
          <w:sz w:val="32"/>
          <w:szCs w:val="32"/>
        </w:rPr>
        <w:t>（此件公开发布）</w:t>
      </w: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adjustRightInd w:val="0"/>
        <w:snapToGrid w:val="0"/>
        <w:spacing w:line="560" w:lineRule="exact"/>
        <w:ind w:firstLine="31680" w:firstLineChars="200"/>
        <w:rPr>
          <w:rFonts w:ascii="黑体" w:eastAsia="黑体"/>
          <w:sz w:val="32"/>
          <w:szCs w:val="32"/>
        </w:rPr>
      </w:pPr>
    </w:p>
    <w:p>
      <w:pPr>
        <w:keepNext/>
        <w:pBdr>
          <w:top w:val="single" w:color="auto" w:sz="6" w:space="1"/>
          <w:bottom w:val="single" w:color="auto" w:sz="6" w:space="1"/>
          <w:between w:val="single" w:color="auto" w:sz="6" w:space="1"/>
        </w:pBdr>
        <w:rPr>
          <w:rFonts w:ascii="仿宋_GB2312" w:eastAsia="仿宋_GB2312"/>
          <w:sz w:val="28"/>
          <w:szCs w:val="28"/>
        </w:rPr>
      </w:pPr>
      <w:r>
        <w:rPr>
          <w:rFonts w:ascii="仿宋_GB2312" w:eastAsia="仿宋_GB2312"/>
          <w:sz w:val="28"/>
          <w:szCs w:val="28"/>
        </w:rPr>
        <w:t xml:space="preserve">  </w:t>
      </w:r>
      <w:bookmarkStart w:id="7" w:name="csmb"/>
      <w:bookmarkEnd w:id="7"/>
      <w:bookmarkStart w:id="8" w:name="yinfadanwei"/>
      <w:r>
        <w:rPr>
          <w:rFonts w:hint="eastAsia" w:ascii="仿宋_GB2312" w:eastAsia="仿宋_GB2312"/>
          <w:sz w:val="28"/>
          <w:szCs w:val="28"/>
        </w:rPr>
        <w:t>绍兴市财政局办公室</w:t>
      </w:r>
      <w:bookmarkEnd w:id="8"/>
      <w:r>
        <w:rPr>
          <w:rFonts w:ascii="仿宋_GB2312" w:eastAsia="仿宋_GB2312"/>
          <w:sz w:val="28"/>
          <w:szCs w:val="28"/>
        </w:rPr>
        <w:t xml:space="preserve">    </w:t>
      </w:r>
      <w:r>
        <w:rPr>
          <w:rFonts w:ascii="仿宋_GB2312" w:eastAsia="仿宋_GB2312"/>
          <w:sz w:val="28"/>
          <w:szCs w:val="28"/>
        </w:rPr>
        <w:tab/>
      </w:r>
      <w:r>
        <w:rPr>
          <w:rFonts w:ascii="仿宋_GB2312" w:eastAsia="仿宋_GB2312"/>
          <w:sz w:val="28"/>
          <w:szCs w:val="28"/>
        </w:rPr>
        <w:tab/>
      </w:r>
      <w:r>
        <w:rPr>
          <w:rFonts w:ascii="仿宋_GB2312" w:eastAsia="仿宋_GB2312"/>
          <w:sz w:val="28"/>
          <w:szCs w:val="28"/>
        </w:rPr>
        <w:tab/>
      </w:r>
      <w:r>
        <w:rPr>
          <w:rFonts w:ascii="仿宋_GB2312" w:eastAsia="仿宋_GB2312"/>
          <w:sz w:val="28"/>
          <w:szCs w:val="28"/>
        </w:rPr>
        <w:tab/>
      </w:r>
      <w:r>
        <w:rPr>
          <w:rFonts w:ascii="仿宋_GB2312" w:eastAsia="仿宋_GB2312"/>
          <w:sz w:val="28"/>
          <w:szCs w:val="28"/>
        </w:rPr>
        <w:tab/>
      </w:r>
      <w:bookmarkStart w:id="9" w:name="yfdate"/>
      <w:r>
        <w:rPr>
          <w:rFonts w:ascii="仿宋_GB2312" w:eastAsia="仿宋_GB2312"/>
          <w:sz w:val="28"/>
          <w:szCs w:val="28"/>
        </w:rPr>
        <w:t xml:space="preserve">      2016</w:t>
      </w:r>
      <w:r>
        <w:rPr>
          <w:rFonts w:hint="eastAsia" w:ascii="仿宋_GB2312" w:eastAsia="仿宋_GB2312"/>
          <w:sz w:val="28"/>
          <w:szCs w:val="28"/>
        </w:rPr>
        <w:t>年</w:t>
      </w:r>
      <w:r>
        <w:rPr>
          <w:rFonts w:ascii="仿宋_GB2312" w:eastAsia="仿宋_GB2312"/>
          <w:sz w:val="28"/>
          <w:szCs w:val="28"/>
        </w:rPr>
        <w:t>9</w:t>
      </w:r>
      <w:r>
        <w:rPr>
          <w:rFonts w:hint="eastAsia" w:ascii="仿宋_GB2312" w:eastAsia="仿宋_GB2312"/>
          <w:sz w:val="28"/>
          <w:szCs w:val="28"/>
        </w:rPr>
        <w:t>月</w:t>
      </w:r>
      <w:r>
        <w:rPr>
          <w:rFonts w:ascii="仿宋_GB2312" w:eastAsia="仿宋_GB2312"/>
          <w:sz w:val="28"/>
          <w:szCs w:val="28"/>
        </w:rPr>
        <w:t>8</w:t>
      </w:r>
      <w:r>
        <w:rPr>
          <w:rFonts w:hint="eastAsia" w:ascii="仿宋_GB2312" w:eastAsia="仿宋_GB2312"/>
          <w:sz w:val="28"/>
          <w:szCs w:val="28"/>
        </w:rPr>
        <w:t>日</w:t>
      </w:r>
      <w:bookmarkEnd w:id="9"/>
      <w:r>
        <w:rPr>
          <w:rFonts w:hint="eastAsia" w:ascii="仿宋_GB2312" w:eastAsia="仿宋_GB2312"/>
          <w:sz w:val="28"/>
          <w:szCs w:val="28"/>
        </w:rPr>
        <w:t>印发</w:t>
      </w:r>
    </w:p>
    <w:p/>
    <w:sectPr>
      <w:footerReference r:id="rId3" w:type="default"/>
      <w:footerReference r:id="rId4" w:type="even"/>
      <w:pgSz w:w="11906" w:h="16838"/>
      <w:pgMar w:top="2098" w:right="1474" w:bottom="1985" w:left="1588" w:header="851" w:footer="1531" w:gutter="0"/>
      <w:cols w:space="425" w:num="1"/>
      <w:docGrid w:type="linesAndChars" w:linePitch="602" w:charSpace="-16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Shruti"/>
    <w:panose1 w:val="02040503050406030204"/>
    <w:charset w:val="00"/>
    <w:family w:val="roman"/>
    <w:pitch w:val="default"/>
    <w:sig w:usb0="00000000" w:usb1="00000000" w:usb2="00000000" w:usb3="00000000" w:csb0="0000019F" w:csb1="00000000"/>
  </w:font>
  <w:font w:name="Calibri">
    <w:altName w:val="Century Gothic"/>
    <w:panose1 w:val="020F0502020204030204"/>
    <w:charset w:val="00"/>
    <w:family w:val="swiss"/>
    <w:pitch w:val="default"/>
    <w:sig w:usb0="00000000" w:usb1="00000000" w:usb2="00000001" w:usb3="00000000" w:csb0="0000019F" w:csb1="00000000"/>
  </w:font>
  <w:font w:name="Helvetica">
    <w:altName w:val="Arial"/>
    <w:panose1 w:val="020B0604020202020204"/>
    <w:charset w:val="00"/>
    <w:family w:val="swiss"/>
    <w:pitch w:val="default"/>
    <w:sig w:usb0="00000000" w:usb1="00000000" w:usb2="00000008" w:usb3="00000000" w:csb0="0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auto"/>
    <w:pitch w:val="default"/>
    <w:sig w:usb0="00007A87" w:usb1="80000000" w:usb2="00000008" w:usb3="00000000" w:csb0="400001FF" w:csb1="FFFF0000"/>
  </w:font>
  <w:font w:name="Shruti">
    <w:panose1 w:val="02000500000000000000"/>
    <w:charset w:val="00"/>
    <w:family w:val="auto"/>
    <w:pitch w:val="default"/>
    <w:sig w:usb0="00040000" w:usb1="00000000" w:usb2="00000000" w:usb3="00000000" w:csb0="00000000" w:csb1="00000000"/>
  </w:font>
  <w:font w:name="Century Gothic">
    <w:panose1 w:val="020B05020202020202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4"/>
        <w:rFonts w:ascii="宋体" w:hAnsi="宋体" w:eastAsia="宋体"/>
        <w:sz w:val="28"/>
      </w:rPr>
    </w:pPr>
    <w:r>
      <w:rPr>
        <w:rStyle w:val="4"/>
        <w:rFonts w:ascii="宋体" w:hAnsi="宋体" w:eastAsia="宋体"/>
        <w:sz w:val="28"/>
      </w:rPr>
      <w:t xml:space="preserve">— </w:t>
    </w:r>
    <w:r>
      <w:rPr>
        <w:rStyle w:val="4"/>
        <w:rFonts w:ascii="宋体" w:hAnsi="宋体" w:eastAsia="宋体"/>
        <w:sz w:val="28"/>
      </w:rPr>
      <w:fldChar w:fldCharType="begin"/>
    </w:r>
    <w:r>
      <w:rPr>
        <w:rStyle w:val="4"/>
        <w:rFonts w:ascii="宋体" w:hAnsi="宋体" w:eastAsia="宋体"/>
        <w:sz w:val="28"/>
      </w:rPr>
      <w:instrText xml:space="preserve"> PAGE </w:instrText>
    </w:r>
    <w:r>
      <w:rPr>
        <w:rStyle w:val="4"/>
        <w:rFonts w:ascii="宋体" w:hAnsi="宋体" w:eastAsia="宋体"/>
        <w:sz w:val="28"/>
      </w:rPr>
      <w:fldChar w:fldCharType="separate"/>
    </w:r>
    <w:r>
      <w:rPr>
        <w:rStyle w:val="4"/>
        <w:rFonts w:ascii="宋体" w:hAnsi="宋体" w:eastAsia="宋体"/>
        <w:sz w:val="28"/>
      </w:rPr>
      <w:t>1</w:t>
    </w:r>
    <w:r>
      <w:rPr>
        <w:rStyle w:val="4"/>
        <w:rFonts w:ascii="宋体" w:hAnsi="宋体" w:eastAsia="宋体"/>
        <w:sz w:val="28"/>
      </w:rPr>
      <w:fldChar w:fldCharType="end"/>
    </w:r>
    <w:r>
      <w:rPr>
        <w:rStyle w:val="4"/>
        <w:rFonts w:ascii="宋体" w:hAnsi="宋体" w:eastAsia="宋体"/>
        <w:sz w:val="28"/>
      </w:rPr>
      <w:t xml:space="preserve"> —</w:t>
    </w:r>
  </w:p>
  <w:p>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4"/>
      </w:rPr>
    </w:pPr>
    <w:r>
      <w:rPr>
        <w:rStyle w:val="4"/>
      </w:rPr>
      <w:fldChar w:fldCharType="begin"/>
    </w:r>
    <w:r>
      <w:rPr>
        <w:rStyle w:val="4"/>
      </w:rPr>
      <w:instrText xml:space="preserve">PAGE  </w:instrText>
    </w:r>
    <w:r>
      <w:rPr>
        <w:rStyle w:val="4"/>
      </w:rPr>
      <w:fldChar w:fldCharType="end"/>
    </w:r>
  </w:p>
  <w:p>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6477"/>
    <w:rsid w:val="00151646"/>
    <w:rsid w:val="00153E8D"/>
    <w:rsid w:val="00780FD7"/>
    <w:rsid w:val="00816477"/>
    <w:rsid w:val="008952DB"/>
    <w:rsid w:val="008E4387"/>
    <w:rsid w:val="00923218"/>
    <w:rsid w:val="00A818D8"/>
    <w:rsid w:val="00B26B70"/>
    <w:rsid w:val="00E0578C"/>
    <w:rsid w:val="00E27198"/>
    <w:rsid w:val="00FE466A"/>
    <w:rsid w:val="28A53544"/>
    <w:rsid w:val="7F3203C3"/>
  </w:rsids>
  <m:mathPr>
    <m:lMargin m:val="0"/>
    <m:mathFont m:val="Cambria Math"/>
    <m:rMargin m:val="0"/>
    <m:wrapIndent m:val="1440"/>
    <m:brkBin m:val="before"/>
    <m:brkBinSub m:val="--"/>
    <m:defJc m:val="centerGroup"/>
    <m:intLim m:val="subSup"/>
    <m:naryLim m:val="undOvr"/>
    <m:smallFrac m:val="off"/>
    <m:dispDef/>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6"/>
    <w:uiPriority w:val="99"/>
    <w:pPr>
      <w:tabs>
        <w:tab w:val="center" w:pos="4153"/>
        <w:tab w:val="right" w:pos="8306"/>
      </w:tabs>
      <w:snapToGrid w:val="0"/>
      <w:jc w:val="left"/>
    </w:pPr>
    <w:rPr>
      <w:rFonts w:eastAsia="黑体"/>
      <w:kern w:val="0"/>
      <w:sz w:val="18"/>
      <w:szCs w:val="18"/>
    </w:rPr>
  </w:style>
  <w:style w:type="character" w:styleId="4">
    <w:name w:val="page number"/>
    <w:basedOn w:val="3"/>
    <w:uiPriority w:val="99"/>
    <w:rPr>
      <w:rFonts w:cs="Times New Roman"/>
    </w:rPr>
  </w:style>
  <w:style w:type="character" w:customStyle="1" w:styleId="6">
    <w:name w:val="Footer Char"/>
    <w:basedOn w:val="3"/>
    <w:link w:val="2"/>
    <w:semiHidden/>
    <w:uiPriority w:val="99"/>
    <w:rPr>
      <w:kern w:val="2"/>
      <w:sz w:val="18"/>
      <w:szCs w:val="18"/>
    </w:rPr>
  </w:style>
  <w:style w:type="paragraph" w:customStyle="1" w:styleId="7">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sxcs</Company>
  <Pages>1</Pages>
  <Words>990</Words>
  <Characters>5643</Characters>
  <Lines>0</Lines>
  <Paragraphs>0</Paragraphs>
  <ScaleCrop>false</ScaleCrop>
  <LinksUpToDate>false</LinksUpToDate>
  <CharactersWithSpaces>0</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2016-09-18T06:50:00Z</dcterms:created>
  <dc:creator>文印员</dc:creator>
  <cp:lastModifiedBy>Administrator</cp:lastModifiedBy>
  <dcterms:modified xsi:type="dcterms:W3CDTF">2016-09-22T09:47:21Z</dcterms:modified>
  <dc:title>绍兴市财政局</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